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F408" w14:textId="43252C33" w:rsidR="00CC74B2" w:rsidRPr="00CC74B2" w:rsidRDefault="00E36725" w:rsidP="000F16F9">
      <w:pPr>
        <w:spacing w:after="0"/>
        <w:rPr>
          <w:rFonts w:cs="Calibri"/>
        </w:rPr>
      </w:pPr>
      <w:r>
        <w:rPr>
          <w:rFonts w:cs="Calibri"/>
        </w:rPr>
        <w:tab/>
      </w:r>
      <w:r w:rsidR="009811F9">
        <w:rPr>
          <w:rFonts w:cs="Calibri"/>
        </w:rPr>
        <w:tab/>
      </w:r>
      <w:r w:rsidR="00CC74B2" w:rsidRPr="00CC74B2">
        <w:rPr>
          <w:rFonts w:cs="Calibri"/>
        </w:rPr>
        <w:tab/>
      </w:r>
      <w:r w:rsidR="00CC74B2" w:rsidRPr="00CC74B2">
        <w:rPr>
          <w:rFonts w:cs="Calibri"/>
        </w:rPr>
        <w:tab/>
      </w:r>
      <w:r w:rsidR="00CC74B2" w:rsidRPr="00CC74B2">
        <w:rPr>
          <w:rFonts w:cs="Calibri"/>
        </w:rPr>
        <w:tab/>
      </w:r>
      <w:r w:rsidR="00CC74B2" w:rsidRPr="00CC74B2">
        <w:rPr>
          <w:rFonts w:cs="Calibri"/>
        </w:rPr>
        <w:tab/>
      </w:r>
      <w:r w:rsidR="00CC74B2" w:rsidRPr="00CC74B2">
        <w:rPr>
          <w:rFonts w:cs="Calibri"/>
        </w:rPr>
        <w:tab/>
      </w:r>
      <w:r w:rsidR="00CC74B2" w:rsidRPr="00CC74B2">
        <w:rPr>
          <w:rFonts w:cs="Calibri"/>
        </w:rPr>
        <w:tab/>
      </w:r>
      <w:r w:rsidR="00CC74B2" w:rsidRPr="00CC74B2">
        <w:rPr>
          <w:rFonts w:cs="Calibri"/>
        </w:rPr>
        <w:tab/>
        <w:t>Hoče, 2</w:t>
      </w:r>
      <w:r>
        <w:rPr>
          <w:rFonts w:cs="Calibri"/>
        </w:rPr>
        <w:t>7</w:t>
      </w:r>
      <w:r w:rsidR="00CC74B2" w:rsidRPr="00CC74B2">
        <w:rPr>
          <w:rFonts w:cs="Calibri"/>
        </w:rPr>
        <w:t>. 6. 202</w:t>
      </w:r>
      <w:r w:rsidR="000F16F9">
        <w:rPr>
          <w:rFonts w:cs="Calibri"/>
        </w:rPr>
        <w:t>5</w:t>
      </w:r>
    </w:p>
    <w:p w14:paraId="2C53B8FD" w14:textId="042F19D2" w:rsidR="00CC74B2" w:rsidRPr="00CC74B2" w:rsidRDefault="00CC74B2" w:rsidP="000F16F9">
      <w:pPr>
        <w:ind w:left="5672" w:firstLine="709"/>
        <w:rPr>
          <w:rFonts w:cs="Calibri"/>
        </w:rPr>
      </w:pPr>
      <w:r w:rsidRPr="00CC74B2">
        <w:rPr>
          <w:rFonts w:cs="Calibri"/>
        </w:rPr>
        <w:t>Številka: 023</w:t>
      </w:r>
      <w:r w:rsidR="00C9682E">
        <w:rPr>
          <w:rFonts w:cs="Calibri"/>
        </w:rPr>
        <w:t>-</w:t>
      </w:r>
      <w:r w:rsidRPr="00CC74B2">
        <w:rPr>
          <w:rFonts w:cs="Calibri"/>
        </w:rPr>
        <w:t>1/202</w:t>
      </w:r>
      <w:r w:rsidR="00C9682E">
        <w:rPr>
          <w:rFonts w:cs="Calibri"/>
        </w:rPr>
        <w:t>5</w:t>
      </w:r>
      <w:r w:rsidRPr="00CC74B2">
        <w:rPr>
          <w:rFonts w:cs="Calibri"/>
        </w:rPr>
        <w:t>-1/21AF</w:t>
      </w:r>
    </w:p>
    <w:p w14:paraId="22EC92D6" w14:textId="77777777" w:rsidR="00CC74B2" w:rsidRPr="00CC74B2" w:rsidRDefault="00CC74B2" w:rsidP="00CC74B2">
      <w:pPr>
        <w:rPr>
          <w:rFonts w:cs="Calibri"/>
        </w:rPr>
      </w:pPr>
    </w:p>
    <w:p w14:paraId="68C9D5CF" w14:textId="7CE54060" w:rsidR="00CC74B2" w:rsidRPr="00CC74B2" w:rsidRDefault="00CC74B2" w:rsidP="003E28DA">
      <w:pPr>
        <w:jc w:val="both"/>
        <w:rPr>
          <w:rFonts w:cs="Calibri"/>
        </w:rPr>
      </w:pPr>
      <w:r w:rsidRPr="00CC74B2">
        <w:rPr>
          <w:rFonts w:cs="Calibri"/>
        </w:rPr>
        <w:t xml:space="preserve">V skladu s prvim odstavkom 10. člena Navodil o izvajanju tutorskega sistema na Fakulteti za kmetijstvo in </w:t>
      </w:r>
      <w:proofErr w:type="spellStart"/>
      <w:r w:rsidRPr="00CC74B2">
        <w:rPr>
          <w:rFonts w:cs="Calibri"/>
        </w:rPr>
        <w:t>biosistemske</w:t>
      </w:r>
      <w:proofErr w:type="spellEnd"/>
      <w:r w:rsidRPr="00CC74B2">
        <w:rPr>
          <w:rFonts w:cs="Calibri"/>
        </w:rPr>
        <w:t xml:space="preserve"> vede Univerze v Mariboru, sprejetimi dne 18. 3. 2024</w:t>
      </w:r>
      <w:r w:rsidR="00BF4150">
        <w:rPr>
          <w:rFonts w:cs="Calibri"/>
        </w:rPr>
        <w:t xml:space="preserve"> ter Spremembami in </w:t>
      </w:r>
      <w:r w:rsidR="0072438D">
        <w:rPr>
          <w:rFonts w:cs="Calibri"/>
        </w:rPr>
        <w:t xml:space="preserve">dopolnitvami Navodil o izvajanju tutorskega sistema na Fakulteti za kmetijstvo in </w:t>
      </w:r>
      <w:proofErr w:type="spellStart"/>
      <w:r w:rsidR="0072438D">
        <w:rPr>
          <w:rFonts w:cs="Calibri"/>
        </w:rPr>
        <w:t>biosistemske</w:t>
      </w:r>
      <w:proofErr w:type="spellEnd"/>
      <w:r w:rsidR="0072438D">
        <w:rPr>
          <w:rFonts w:cs="Calibri"/>
        </w:rPr>
        <w:t xml:space="preserve"> vede Univerze v Mariboru</w:t>
      </w:r>
      <w:r w:rsidR="00503BF8">
        <w:rPr>
          <w:rFonts w:cs="Calibri"/>
        </w:rPr>
        <w:t xml:space="preserve">, sprejetimi </w:t>
      </w:r>
      <w:r w:rsidR="0072438D">
        <w:rPr>
          <w:rFonts w:cs="Calibri"/>
        </w:rPr>
        <w:t>dne 12. 6. 2025</w:t>
      </w:r>
      <w:r w:rsidR="0058751C">
        <w:rPr>
          <w:rFonts w:cs="Calibri"/>
        </w:rPr>
        <w:t xml:space="preserve"> (v nadaljevanju: Navodila o izvajanju tutorskega sistema</w:t>
      </w:r>
      <w:r w:rsidR="00155D92">
        <w:rPr>
          <w:rFonts w:cs="Calibri"/>
        </w:rPr>
        <w:t xml:space="preserve"> </w:t>
      </w:r>
      <w:r w:rsidR="00710EFB">
        <w:rPr>
          <w:rFonts w:cs="Calibri"/>
        </w:rPr>
        <w:t xml:space="preserve">na UM FKBV) </w:t>
      </w:r>
      <w:r w:rsidRPr="00CC74B2">
        <w:rPr>
          <w:rFonts w:cs="Calibri"/>
        </w:rPr>
        <w:t>ter v skladu z Navodili o izvajanju tutorskega sistema na Univerzi v Mariboru, št.</w:t>
      </w:r>
      <w:r w:rsidR="005B2A3F">
        <w:rPr>
          <w:rFonts w:cs="Calibri"/>
        </w:rPr>
        <w:t> </w:t>
      </w:r>
      <w:r w:rsidRPr="00CC74B2">
        <w:rPr>
          <w:rFonts w:cs="Calibri"/>
        </w:rPr>
        <w:t xml:space="preserve">012/N 6/2023/400-AG, Fakulteta za kmetijstvo in </w:t>
      </w:r>
      <w:proofErr w:type="spellStart"/>
      <w:r w:rsidRPr="00CC74B2">
        <w:rPr>
          <w:rFonts w:cs="Calibri"/>
        </w:rPr>
        <w:t>biosistemske</w:t>
      </w:r>
      <w:proofErr w:type="spellEnd"/>
      <w:r w:rsidRPr="00CC74B2">
        <w:rPr>
          <w:rFonts w:cs="Calibri"/>
        </w:rPr>
        <w:t xml:space="preserve"> vede objavlja</w:t>
      </w:r>
    </w:p>
    <w:p w14:paraId="221C5DA3" w14:textId="77777777" w:rsidR="00CC74B2" w:rsidRPr="00CC74B2" w:rsidRDefault="00CC74B2" w:rsidP="00CC74B2">
      <w:pPr>
        <w:rPr>
          <w:rFonts w:cs="Calibri"/>
        </w:rPr>
      </w:pPr>
    </w:p>
    <w:p w14:paraId="1965998A" w14:textId="02DAEC5D" w:rsidR="00CC74B2" w:rsidRPr="00CC74B2" w:rsidRDefault="00CC74B2" w:rsidP="004C185E">
      <w:pPr>
        <w:spacing w:after="0"/>
        <w:jc w:val="center"/>
        <w:rPr>
          <w:rFonts w:cs="Calibri"/>
          <w:b/>
          <w:bCs/>
        </w:rPr>
      </w:pPr>
      <w:r w:rsidRPr="00CC74B2">
        <w:rPr>
          <w:rFonts w:cs="Calibri"/>
          <w:b/>
          <w:bCs/>
        </w:rPr>
        <w:t>RAZPIS ZA IZBOR TUTORJEV ŠTUDENTOV IN KOORDINATORJA TUTORJEV ŠTUDENTOV</w:t>
      </w:r>
    </w:p>
    <w:p w14:paraId="69C00BE3" w14:textId="77777777" w:rsidR="00CC74B2" w:rsidRPr="00CC74B2" w:rsidRDefault="00CC74B2" w:rsidP="00155D92">
      <w:pPr>
        <w:jc w:val="center"/>
        <w:rPr>
          <w:rFonts w:cs="Calibri"/>
          <w:b/>
          <w:bCs/>
        </w:rPr>
      </w:pPr>
      <w:r w:rsidRPr="00CC74B2">
        <w:rPr>
          <w:rFonts w:cs="Calibri"/>
          <w:b/>
          <w:bCs/>
        </w:rPr>
        <w:t xml:space="preserve">Fakultete za kmetijstvo in </w:t>
      </w:r>
      <w:proofErr w:type="spellStart"/>
      <w:r w:rsidRPr="00CC74B2">
        <w:rPr>
          <w:rFonts w:cs="Calibri"/>
          <w:b/>
          <w:bCs/>
        </w:rPr>
        <w:t>biosistemske</w:t>
      </w:r>
      <w:proofErr w:type="spellEnd"/>
      <w:r w:rsidRPr="00CC74B2">
        <w:rPr>
          <w:rFonts w:cs="Calibri"/>
          <w:b/>
          <w:bCs/>
        </w:rPr>
        <w:t xml:space="preserve"> vede Univerze v Mariboru</w:t>
      </w:r>
    </w:p>
    <w:p w14:paraId="0794EB9E" w14:textId="11FAD4BE" w:rsidR="00CC74B2" w:rsidRPr="00CC74B2" w:rsidRDefault="00CC74B2" w:rsidP="00155D92">
      <w:pPr>
        <w:jc w:val="center"/>
        <w:rPr>
          <w:rFonts w:cs="Calibri"/>
          <w:b/>
          <w:bCs/>
        </w:rPr>
      </w:pPr>
      <w:r w:rsidRPr="00CC74B2">
        <w:rPr>
          <w:rFonts w:cs="Calibri"/>
          <w:b/>
          <w:bCs/>
        </w:rPr>
        <w:t>za študijsko leto 202</w:t>
      </w:r>
      <w:r w:rsidR="00155D92">
        <w:rPr>
          <w:rFonts w:cs="Calibri"/>
          <w:b/>
          <w:bCs/>
        </w:rPr>
        <w:t>5</w:t>
      </w:r>
      <w:r w:rsidRPr="00CC74B2">
        <w:rPr>
          <w:rFonts w:cs="Calibri"/>
          <w:b/>
          <w:bCs/>
        </w:rPr>
        <w:t>/202</w:t>
      </w:r>
      <w:r w:rsidR="00155D92">
        <w:rPr>
          <w:rFonts w:cs="Calibri"/>
          <w:b/>
          <w:bCs/>
        </w:rPr>
        <w:t>6</w:t>
      </w:r>
    </w:p>
    <w:p w14:paraId="1AD3E63C" w14:textId="77777777" w:rsidR="00CC74B2" w:rsidRPr="00CC74B2" w:rsidRDefault="00CC74B2" w:rsidP="00CC74B2">
      <w:pPr>
        <w:rPr>
          <w:rFonts w:cs="Calibri"/>
        </w:rPr>
      </w:pPr>
    </w:p>
    <w:p w14:paraId="4E3454DA" w14:textId="77777777" w:rsidR="00CC74B2" w:rsidRPr="00CC74B2" w:rsidRDefault="00CC74B2" w:rsidP="00155D92">
      <w:pPr>
        <w:jc w:val="both"/>
        <w:rPr>
          <w:rFonts w:cs="Calibri"/>
        </w:rPr>
      </w:pPr>
      <w:r w:rsidRPr="00CC74B2">
        <w:rPr>
          <w:rFonts w:cs="Calibri"/>
        </w:rPr>
        <w:t>Vljudno vabimo vse študente</w:t>
      </w:r>
      <w:r w:rsidRPr="00CC74B2">
        <w:rPr>
          <w:rFonts w:cs="Calibri"/>
          <w:vertAlign w:val="superscript"/>
        </w:rPr>
        <w:footnoteReference w:id="1"/>
      </w:r>
      <w:r w:rsidRPr="00CC74B2">
        <w:rPr>
          <w:rFonts w:cs="Calibri"/>
        </w:rPr>
        <w:t xml:space="preserve">, da podajo prijavo za tutorje študente Fakultete za kmetijstvo in </w:t>
      </w:r>
      <w:proofErr w:type="spellStart"/>
      <w:r w:rsidRPr="00CC74B2">
        <w:rPr>
          <w:rFonts w:cs="Calibri"/>
        </w:rPr>
        <w:t>biosistemske</w:t>
      </w:r>
      <w:proofErr w:type="spellEnd"/>
      <w:r w:rsidRPr="00CC74B2">
        <w:rPr>
          <w:rFonts w:cs="Calibri"/>
        </w:rPr>
        <w:t xml:space="preserve"> vede Univerze v Mariboru (v nadaljevanju: UM FKBV) ter koordinatorja tutorjev študentov UM FKBV.</w:t>
      </w:r>
    </w:p>
    <w:p w14:paraId="48A80CDB" w14:textId="77777777" w:rsidR="00CC74B2" w:rsidRPr="00CC74B2" w:rsidRDefault="00CC74B2" w:rsidP="00DA32F5">
      <w:pPr>
        <w:jc w:val="both"/>
        <w:rPr>
          <w:rFonts w:cs="Calibri"/>
        </w:rPr>
      </w:pPr>
      <w:r w:rsidRPr="00CC74B2">
        <w:rPr>
          <w:rFonts w:cs="Calibri"/>
        </w:rPr>
        <w:t>Študentsko tutorstvo je oblika tutorske dejavnosti, pri kateri tutor študent svetuje, pomaga drugim študentom, jih usmerja in motivira med študijem.</w:t>
      </w:r>
    </w:p>
    <w:p w14:paraId="72020958" w14:textId="77777777" w:rsidR="00CC74B2" w:rsidRPr="00CC74B2" w:rsidRDefault="00CC74B2" w:rsidP="00CC74B2">
      <w:pPr>
        <w:rPr>
          <w:rFonts w:cs="Calibri"/>
          <w:b/>
          <w:bCs/>
        </w:rPr>
      </w:pPr>
    </w:p>
    <w:p w14:paraId="532D625D" w14:textId="77777777" w:rsidR="00CC74B2" w:rsidRPr="00CC74B2" w:rsidRDefault="00CC74B2" w:rsidP="00CC74B2">
      <w:pPr>
        <w:rPr>
          <w:rFonts w:cs="Calibri"/>
          <w:b/>
          <w:bCs/>
          <w:u w:val="single"/>
        </w:rPr>
      </w:pPr>
      <w:r w:rsidRPr="00CC74B2">
        <w:rPr>
          <w:rFonts w:cs="Calibri"/>
          <w:b/>
          <w:bCs/>
          <w:u w:val="single"/>
        </w:rPr>
        <w:t>Pogoji in postopek izbire:</w:t>
      </w:r>
    </w:p>
    <w:p w14:paraId="0F236B1F" w14:textId="7CF3C5AC" w:rsidR="00CC74B2" w:rsidRPr="00CC74B2" w:rsidRDefault="00CC74B2" w:rsidP="00E24A01">
      <w:pPr>
        <w:numPr>
          <w:ilvl w:val="0"/>
          <w:numId w:val="1"/>
        </w:numPr>
        <w:jc w:val="both"/>
        <w:rPr>
          <w:rFonts w:cs="Calibri"/>
        </w:rPr>
      </w:pPr>
      <w:r w:rsidRPr="00CC74B2">
        <w:rPr>
          <w:rFonts w:cs="Calibri"/>
          <w:b/>
          <w:bCs/>
        </w:rPr>
        <w:t>Tutor študent</w:t>
      </w:r>
      <w:r w:rsidRPr="00CC74B2">
        <w:rPr>
          <w:rFonts w:cs="Calibri"/>
        </w:rPr>
        <w:t xml:space="preserve"> je lahko vsak redno vpisan študent, ki je pred pričetkom izvajanja tutorstva (to je pred 1. 10. 202</w:t>
      </w:r>
      <w:r w:rsidR="00062511">
        <w:rPr>
          <w:rFonts w:cs="Calibri"/>
        </w:rPr>
        <w:t>5</w:t>
      </w:r>
      <w:r w:rsidRPr="00CC74B2">
        <w:rPr>
          <w:rFonts w:cs="Calibri"/>
        </w:rPr>
        <w:t>) uspešno zaključil vsaj 1. letnik 1. stopnje</w:t>
      </w:r>
      <w:r w:rsidR="00E24A01">
        <w:rPr>
          <w:rFonts w:cs="Calibri"/>
        </w:rPr>
        <w:t>,</w:t>
      </w:r>
      <w:r w:rsidRPr="00CC74B2">
        <w:rPr>
          <w:rFonts w:cs="Calibri"/>
        </w:rPr>
        <w:t xml:space="preserve"> ni prejel disciplinskega ukrepa</w:t>
      </w:r>
      <w:r w:rsidR="00DA32F5">
        <w:rPr>
          <w:rFonts w:cs="Calibri"/>
        </w:rPr>
        <w:t xml:space="preserve"> ter se je udeležil usposabljanja za tutorja študenta.</w:t>
      </w:r>
    </w:p>
    <w:p w14:paraId="5CD135DD" w14:textId="77777777" w:rsidR="00CC74B2" w:rsidRPr="00CC74B2" w:rsidRDefault="00CC74B2" w:rsidP="00CC74B2">
      <w:pPr>
        <w:rPr>
          <w:rFonts w:cs="Calibri"/>
        </w:rPr>
      </w:pPr>
    </w:p>
    <w:p w14:paraId="610C4290" w14:textId="77777777" w:rsidR="00CC74B2" w:rsidRPr="00CC74B2" w:rsidRDefault="00CC74B2" w:rsidP="00062511">
      <w:pPr>
        <w:numPr>
          <w:ilvl w:val="0"/>
          <w:numId w:val="1"/>
        </w:numPr>
        <w:jc w:val="both"/>
        <w:rPr>
          <w:rFonts w:cs="Calibri"/>
        </w:rPr>
      </w:pPr>
      <w:r w:rsidRPr="00CC74B2">
        <w:rPr>
          <w:rFonts w:cs="Calibri"/>
        </w:rPr>
        <w:t xml:space="preserve">Študenti, ki so vsaj eno leto opravljali funkcijo tutorja študenta, lahko kandidirajo tudi za </w:t>
      </w:r>
      <w:r w:rsidRPr="00CC74B2">
        <w:rPr>
          <w:rFonts w:cs="Calibri"/>
          <w:b/>
          <w:bCs/>
        </w:rPr>
        <w:t>koordinatorja tutorjev študentov</w:t>
      </w:r>
      <w:r w:rsidRPr="00CC74B2">
        <w:rPr>
          <w:rFonts w:cs="Calibri"/>
        </w:rPr>
        <w:t>.</w:t>
      </w:r>
    </w:p>
    <w:p w14:paraId="2E628201" w14:textId="77777777" w:rsidR="00CC74B2" w:rsidRPr="00CC74B2" w:rsidRDefault="00CC74B2" w:rsidP="00CC74B2">
      <w:pPr>
        <w:rPr>
          <w:rFonts w:cs="Calibri"/>
        </w:rPr>
      </w:pPr>
    </w:p>
    <w:p w14:paraId="1422253A" w14:textId="7C4E7B75" w:rsidR="00CC74B2" w:rsidRPr="00CC74B2" w:rsidRDefault="00CC74B2" w:rsidP="00062511">
      <w:pPr>
        <w:numPr>
          <w:ilvl w:val="0"/>
          <w:numId w:val="1"/>
        </w:numPr>
        <w:jc w:val="both"/>
        <w:rPr>
          <w:rFonts w:cs="Calibri"/>
        </w:rPr>
      </w:pPr>
      <w:r w:rsidRPr="00CC74B2">
        <w:rPr>
          <w:rFonts w:cs="Calibri"/>
        </w:rPr>
        <w:t xml:space="preserve">Kandidati oddajo prijavo na priloženem obrazcu do </w:t>
      </w:r>
      <w:r w:rsidR="001C2855">
        <w:rPr>
          <w:rFonts w:cs="Calibri"/>
          <w:b/>
          <w:bCs/>
        </w:rPr>
        <w:t>četrtka</w:t>
      </w:r>
      <w:r w:rsidR="002E6C72">
        <w:rPr>
          <w:rFonts w:cs="Calibri"/>
          <w:b/>
          <w:bCs/>
        </w:rPr>
        <w:t xml:space="preserve">, </w:t>
      </w:r>
      <w:r w:rsidR="001C2855">
        <w:rPr>
          <w:rFonts w:cs="Calibri"/>
          <w:b/>
          <w:bCs/>
        </w:rPr>
        <w:t>31</w:t>
      </w:r>
      <w:r w:rsidR="002E6C72">
        <w:rPr>
          <w:rFonts w:cs="Calibri"/>
          <w:b/>
          <w:bCs/>
        </w:rPr>
        <w:t xml:space="preserve">. </w:t>
      </w:r>
      <w:r w:rsidR="001C2855">
        <w:rPr>
          <w:rFonts w:cs="Calibri"/>
          <w:b/>
          <w:bCs/>
        </w:rPr>
        <w:t>7</w:t>
      </w:r>
      <w:r w:rsidR="002E6C72">
        <w:rPr>
          <w:rFonts w:cs="Calibri"/>
          <w:b/>
          <w:bCs/>
        </w:rPr>
        <w:t>. 2025</w:t>
      </w:r>
      <w:r w:rsidRPr="00CC74B2">
        <w:rPr>
          <w:rFonts w:cs="Calibri"/>
          <w:b/>
          <w:bCs/>
        </w:rPr>
        <w:t xml:space="preserve">, </w:t>
      </w:r>
      <w:r w:rsidRPr="00CC74B2">
        <w:rPr>
          <w:rFonts w:cs="Calibri"/>
        </w:rPr>
        <w:t>v zaprti kuverti v tajništvu UM FKBV, Pivola 10, 2311 Hoče s pripisom Kandidatura za tutorja študenta – ne odpiraj!</w:t>
      </w:r>
    </w:p>
    <w:p w14:paraId="7CFAD2C5" w14:textId="77777777" w:rsidR="00CC74B2" w:rsidRPr="00CC74B2" w:rsidRDefault="00CC74B2" w:rsidP="00CC74B2">
      <w:pPr>
        <w:rPr>
          <w:rFonts w:cs="Calibri"/>
        </w:rPr>
      </w:pPr>
    </w:p>
    <w:p w14:paraId="3D74D251" w14:textId="77777777" w:rsidR="00CC74B2" w:rsidRPr="00CC74B2" w:rsidRDefault="00CC74B2" w:rsidP="00E34D15">
      <w:pPr>
        <w:numPr>
          <w:ilvl w:val="0"/>
          <w:numId w:val="1"/>
        </w:numPr>
        <w:jc w:val="both"/>
        <w:rPr>
          <w:rFonts w:cs="Calibri"/>
        </w:rPr>
      </w:pPr>
      <w:r w:rsidRPr="00CC74B2">
        <w:rPr>
          <w:rFonts w:cs="Calibri"/>
        </w:rPr>
        <w:t>Prijave bo pregledala in ocenila imenovana komisija, ki bo po potrebi opravila osebni razgovor s kandidati. Tutorje študente in koordinatorja tutorjev študentov bo na predlog imenovane komisije potrdil Senat UM FKBV.</w:t>
      </w:r>
    </w:p>
    <w:p w14:paraId="45B545EB" w14:textId="77777777" w:rsidR="00CC74B2" w:rsidRPr="00CC74B2" w:rsidRDefault="00CC74B2" w:rsidP="00CC74B2">
      <w:pPr>
        <w:rPr>
          <w:rFonts w:cs="Calibri"/>
        </w:rPr>
      </w:pPr>
    </w:p>
    <w:p w14:paraId="56480FB4" w14:textId="4C751D11" w:rsidR="00CC74B2" w:rsidRPr="00CC74B2" w:rsidRDefault="00CC74B2" w:rsidP="00E34D15">
      <w:pPr>
        <w:numPr>
          <w:ilvl w:val="0"/>
          <w:numId w:val="1"/>
        </w:numPr>
        <w:jc w:val="both"/>
        <w:rPr>
          <w:rFonts w:cs="Calibri"/>
        </w:rPr>
      </w:pPr>
      <w:r w:rsidRPr="00CC74B2">
        <w:rPr>
          <w:rFonts w:cs="Calibri"/>
        </w:rPr>
        <w:t>Tutorji študenti in koordinator tutorjev študentov bodo imenovani za študijsko leto 202</w:t>
      </w:r>
      <w:r w:rsidR="00E34D15">
        <w:rPr>
          <w:rFonts w:cs="Calibri"/>
        </w:rPr>
        <w:t>5</w:t>
      </w:r>
      <w:r w:rsidRPr="00CC74B2">
        <w:rPr>
          <w:rFonts w:cs="Calibri"/>
        </w:rPr>
        <w:t>/202</w:t>
      </w:r>
      <w:r w:rsidR="00E34D15">
        <w:rPr>
          <w:rFonts w:cs="Calibri"/>
        </w:rPr>
        <w:t>6</w:t>
      </w:r>
      <w:r w:rsidRPr="00CC74B2">
        <w:rPr>
          <w:rFonts w:cs="Calibri"/>
        </w:rPr>
        <w:t xml:space="preserve"> od 1. 10. 202</w:t>
      </w:r>
      <w:r w:rsidR="00E34D15">
        <w:rPr>
          <w:rFonts w:cs="Calibri"/>
        </w:rPr>
        <w:t>5</w:t>
      </w:r>
      <w:r w:rsidRPr="00CC74B2">
        <w:rPr>
          <w:rFonts w:cs="Calibri"/>
        </w:rPr>
        <w:t xml:space="preserve"> do 30. 9. 202</w:t>
      </w:r>
      <w:r w:rsidR="00E34D15">
        <w:rPr>
          <w:rFonts w:cs="Calibri"/>
        </w:rPr>
        <w:t>6</w:t>
      </w:r>
      <w:r w:rsidRPr="00CC74B2">
        <w:rPr>
          <w:rFonts w:cs="Calibri"/>
        </w:rPr>
        <w:t>.</w:t>
      </w:r>
    </w:p>
    <w:p w14:paraId="258F433C" w14:textId="77777777" w:rsidR="00CC74B2" w:rsidRPr="00CC74B2" w:rsidRDefault="00CC74B2" w:rsidP="00CC74B2">
      <w:pPr>
        <w:rPr>
          <w:rFonts w:cs="Calibri"/>
        </w:rPr>
      </w:pPr>
    </w:p>
    <w:p w14:paraId="04131C48" w14:textId="77777777" w:rsidR="00CC74B2" w:rsidRPr="00CC74B2" w:rsidRDefault="00CC74B2" w:rsidP="00E34D15">
      <w:pPr>
        <w:numPr>
          <w:ilvl w:val="0"/>
          <w:numId w:val="1"/>
        </w:numPr>
        <w:jc w:val="both"/>
        <w:rPr>
          <w:rFonts w:cs="Calibri"/>
        </w:rPr>
      </w:pPr>
      <w:r w:rsidRPr="00CC74B2">
        <w:rPr>
          <w:rFonts w:cs="Calibri"/>
        </w:rPr>
        <w:t>Imenovanim tutorjem bo določena skupina študentov, praviloma tako, da vsak tutor študent prevzame študente študijskega programa za katerega je kandidiral. Upoštevaje število kandidatur ter število študentov v posameznem študijskem programu, se lahko posameznemu tutorju študentu določijo tudi študenti več študijskih programov.</w:t>
      </w:r>
    </w:p>
    <w:p w14:paraId="6C30B492" w14:textId="77777777" w:rsidR="00CC74B2" w:rsidRPr="00CC74B2" w:rsidRDefault="00CC74B2" w:rsidP="00CC74B2">
      <w:pPr>
        <w:rPr>
          <w:rFonts w:cs="Calibri"/>
        </w:rPr>
      </w:pPr>
    </w:p>
    <w:p w14:paraId="238C2AA5" w14:textId="2D3C88BA" w:rsidR="00CC74B2" w:rsidRPr="00CC74B2" w:rsidRDefault="00CC74B2" w:rsidP="0058751C">
      <w:pPr>
        <w:numPr>
          <w:ilvl w:val="0"/>
          <w:numId w:val="1"/>
        </w:numPr>
        <w:jc w:val="both"/>
        <w:rPr>
          <w:rFonts w:cs="Calibri"/>
        </w:rPr>
      </w:pPr>
      <w:r w:rsidRPr="00CC74B2">
        <w:rPr>
          <w:rFonts w:cs="Calibri"/>
        </w:rPr>
        <w:t>Delo tutorjev študentov ter koordinatorja tutorjev študentov se finančno nagradi v skladu z Navodili o izvajanju tutorskega sistema</w:t>
      </w:r>
      <w:r w:rsidR="00710EFB">
        <w:rPr>
          <w:rFonts w:cs="Calibri"/>
        </w:rPr>
        <w:t xml:space="preserve"> na UM FKBV.</w:t>
      </w:r>
    </w:p>
    <w:p w14:paraId="41B2D95E" w14:textId="77777777" w:rsidR="00CC74B2" w:rsidRPr="00CC74B2" w:rsidRDefault="00CC74B2" w:rsidP="00CC74B2">
      <w:pPr>
        <w:rPr>
          <w:rFonts w:cs="Calibri"/>
          <w:b/>
          <w:bCs/>
        </w:rPr>
      </w:pPr>
    </w:p>
    <w:p w14:paraId="0549CDD5" w14:textId="77777777" w:rsidR="00CC74B2" w:rsidRPr="00CC74B2" w:rsidRDefault="00CC74B2" w:rsidP="00CC74B2">
      <w:pPr>
        <w:rPr>
          <w:rFonts w:cs="Calibri"/>
          <w:u w:val="single"/>
        </w:rPr>
      </w:pPr>
      <w:r w:rsidRPr="00CC74B2">
        <w:rPr>
          <w:rFonts w:cs="Calibri"/>
          <w:b/>
          <w:bCs/>
          <w:u w:val="single"/>
        </w:rPr>
        <w:t>Naloge in obveznosti tutorjev študentov ter koordinatorja tutorjev študentov</w:t>
      </w:r>
      <w:r w:rsidRPr="00CC74B2">
        <w:rPr>
          <w:rFonts w:cs="Calibri"/>
          <w:b/>
          <w:bCs/>
          <w:u w:val="single"/>
          <w:vertAlign w:val="superscript"/>
        </w:rPr>
        <w:footnoteReference w:id="2"/>
      </w:r>
      <w:r w:rsidRPr="00CC74B2">
        <w:rPr>
          <w:rFonts w:cs="Calibri"/>
          <w:u w:val="single"/>
        </w:rPr>
        <w:t>:</w:t>
      </w:r>
    </w:p>
    <w:p w14:paraId="7B6A2051" w14:textId="77777777" w:rsidR="00CC74B2" w:rsidRPr="00CC74B2" w:rsidRDefault="00CC74B2" w:rsidP="00CC74B2">
      <w:pPr>
        <w:rPr>
          <w:rFonts w:cs="Calibri"/>
          <w:u w:val="single"/>
        </w:rPr>
      </w:pPr>
    </w:p>
    <w:p w14:paraId="3166CF9E" w14:textId="77777777" w:rsidR="00CC74B2" w:rsidRPr="00CC74B2" w:rsidRDefault="00CC74B2" w:rsidP="006D29F0">
      <w:pPr>
        <w:jc w:val="both"/>
        <w:rPr>
          <w:rFonts w:cs="Calibri"/>
        </w:rPr>
      </w:pPr>
      <w:r w:rsidRPr="00CC74B2">
        <w:rPr>
          <w:rFonts w:cs="Calibri"/>
          <w:b/>
          <w:bCs/>
        </w:rPr>
        <w:t>Tutorji študenti</w:t>
      </w:r>
      <w:r w:rsidRPr="00CC74B2">
        <w:rPr>
          <w:rFonts w:cs="Calibri"/>
        </w:rPr>
        <w:t xml:space="preserve"> organizirajo mesečna tutorska srečanja, ki se lahko izvedejo v živo ali preko spleta »na daljavo«; študentom svetujejo kako razrešiti ali kam se obrniti po pomoč za razrešitev študijskih in drugih izzivov; vodijo evidenco o opravljenih tutorskih urah in evidenco pogostih vprašanj študentov; dajejo predloge za izboljšanje tutorskega sistema. Razen navedenega:</w:t>
      </w:r>
    </w:p>
    <w:p w14:paraId="5037B48B" w14:textId="3DE0DC70" w:rsidR="00CC74B2" w:rsidRPr="00CC74B2" w:rsidRDefault="00CC74B2" w:rsidP="00194844">
      <w:pPr>
        <w:numPr>
          <w:ilvl w:val="0"/>
          <w:numId w:val="2"/>
        </w:numPr>
        <w:jc w:val="both"/>
        <w:rPr>
          <w:rFonts w:cs="Calibri"/>
        </w:rPr>
      </w:pPr>
      <w:r w:rsidRPr="00CC74B2">
        <w:rPr>
          <w:rFonts w:cs="Calibri"/>
        </w:rPr>
        <w:t xml:space="preserve">so se tutorji študenti dolžni udeležiti </w:t>
      </w:r>
      <w:r w:rsidRPr="00CC74B2">
        <w:rPr>
          <w:rFonts w:cs="Calibri"/>
          <w:b/>
          <w:bCs/>
        </w:rPr>
        <w:t>obveznega letnega usposabljanja</w:t>
      </w:r>
      <w:r w:rsidRPr="00CC74B2">
        <w:rPr>
          <w:rFonts w:cs="Calibri"/>
        </w:rPr>
        <w:t>, ki ga organizirajo strokovne službe rektorata; program in časovni razpored usposabljanj je priložen razpisu</w:t>
      </w:r>
      <w:r w:rsidR="00C374E0">
        <w:rPr>
          <w:rFonts w:cs="Calibri"/>
        </w:rPr>
        <w:t>. Za študente, ki so usposabljanje uspešno opravili v letu 2024, in se bodo ponovno prijavili na razpis za tutorje študente, udeležba ni obvezna</w:t>
      </w:r>
      <w:r w:rsidR="00D84B5C">
        <w:rPr>
          <w:rFonts w:cs="Calibri"/>
        </w:rPr>
        <w:t>.</w:t>
      </w:r>
    </w:p>
    <w:p w14:paraId="041611AA" w14:textId="650F833B" w:rsidR="00CC74B2" w:rsidRPr="00CC74B2" w:rsidRDefault="00CC74B2" w:rsidP="00194844">
      <w:pPr>
        <w:numPr>
          <w:ilvl w:val="0"/>
          <w:numId w:val="2"/>
        </w:numPr>
        <w:jc w:val="both"/>
        <w:rPr>
          <w:rFonts w:cs="Calibri"/>
        </w:rPr>
      </w:pPr>
      <w:r w:rsidRPr="00CC74B2">
        <w:rPr>
          <w:rFonts w:cs="Calibri"/>
        </w:rPr>
        <w:t>tutorji študenti skupaj s tutorji učitelji izvedejo prvo tutorsko srečanje s študenti novinci na uvajalni dan, z ostalimi letniki pa najkasneje do 15. 10. 202</w:t>
      </w:r>
      <w:r w:rsidR="00194844">
        <w:rPr>
          <w:rFonts w:cs="Calibri"/>
        </w:rPr>
        <w:t>5</w:t>
      </w:r>
      <w:r w:rsidRPr="00CC74B2">
        <w:rPr>
          <w:rFonts w:cs="Calibri"/>
        </w:rPr>
        <w:t>,</w:t>
      </w:r>
    </w:p>
    <w:p w14:paraId="5DB06014" w14:textId="3867C5F5" w:rsidR="00CC74B2" w:rsidRPr="00CC74B2" w:rsidRDefault="00CC74B2" w:rsidP="00194844">
      <w:pPr>
        <w:numPr>
          <w:ilvl w:val="0"/>
          <w:numId w:val="2"/>
        </w:numPr>
        <w:jc w:val="both"/>
        <w:rPr>
          <w:rFonts w:cs="Calibri"/>
        </w:rPr>
      </w:pPr>
      <w:r w:rsidRPr="00CC74B2">
        <w:rPr>
          <w:rFonts w:cs="Calibri"/>
        </w:rPr>
        <w:t>do 30. 9. 202</w:t>
      </w:r>
      <w:r w:rsidR="00194844">
        <w:rPr>
          <w:rFonts w:cs="Calibri"/>
        </w:rPr>
        <w:t>6</w:t>
      </w:r>
      <w:r w:rsidRPr="00CC74B2">
        <w:rPr>
          <w:rFonts w:cs="Calibri"/>
        </w:rPr>
        <w:t xml:space="preserve"> podajo koordinatorju tutorjev učiteljev in koordinatorju tutorjev študentov pisno poročilo o svojem delu; vzorec poročila je priložen.</w:t>
      </w:r>
    </w:p>
    <w:p w14:paraId="5262B761" w14:textId="77777777" w:rsidR="00CC74B2" w:rsidRPr="00CC74B2" w:rsidRDefault="00CC74B2" w:rsidP="00CC74B2">
      <w:pPr>
        <w:rPr>
          <w:rFonts w:cs="Calibri"/>
        </w:rPr>
      </w:pPr>
    </w:p>
    <w:p w14:paraId="21D24E97" w14:textId="77777777" w:rsidR="00CC74B2" w:rsidRPr="00CC74B2" w:rsidRDefault="00CC74B2" w:rsidP="006248CA">
      <w:pPr>
        <w:jc w:val="both"/>
        <w:rPr>
          <w:rFonts w:cs="Calibri"/>
        </w:rPr>
      </w:pPr>
      <w:r w:rsidRPr="00CC74B2">
        <w:rPr>
          <w:rFonts w:cs="Calibri"/>
          <w:b/>
          <w:bCs/>
        </w:rPr>
        <w:t>Koordinator tutorjev študentov</w:t>
      </w:r>
      <w:r w:rsidRPr="00CC74B2">
        <w:rPr>
          <w:rFonts w:cs="Calibri"/>
        </w:rPr>
        <w:t xml:space="preserve"> skrbi za izvajanje tutorstva na fakulteti, ga koordinira in nadzoruje; nudi pomoč ostalim tutorjem študentom pri njihovem delu; sodeluje s koordinatorjem tutorjev učiteljev; vodi evidenco o opravljenih tutorskih urah in evidenco pogostih vprašanj ter letno poroča o študentskem tutorstvu študentskemu svetu in komisiji, pristojni za študijske zadeve.</w:t>
      </w:r>
    </w:p>
    <w:p w14:paraId="1C1DBC77" w14:textId="77777777" w:rsidR="00CC74B2" w:rsidRPr="00CC74B2" w:rsidRDefault="00CC74B2" w:rsidP="00CC74B2">
      <w:pPr>
        <w:rPr>
          <w:rFonts w:cs="Calibri"/>
        </w:rPr>
      </w:pPr>
    </w:p>
    <w:p w14:paraId="4CDB2427" w14:textId="6AD99AB8" w:rsidR="00CC74B2" w:rsidRPr="00CC74B2" w:rsidRDefault="00CC74B2" w:rsidP="00CC74B2">
      <w:pPr>
        <w:rPr>
          <w:rFonts w:cs="Calibri"/>
        </w:rPr>
      </w:pPr>
      <w:r w:rsidRPr="00CC74B2">
        <w:rPr>
          <w:rFonts w:cs="Calibri"/>
        </w:rPr>
        <w:t xml:space="preserve"> </w:t>
      </w:r>
    </w:p>
    <w:p w14:paraId="0E06C855" w14:textId="77777777" w:rsidR="00CC74B2" w:rsidRPr="00CC74B2" w:rsidRDefault="00CC74B2" w:rsidP="009811F9">
      <w:pPr>
        <w:spacing w:after="0"/>
        <w:ind w:left="4678"/>
        <w:rPr>
          <w:rFonts w:cs="Calibri"/>
        </w:rPr>
      </w:pPr>
      <w:r w:rsidRPr="00CC74B2">
        <w:rPr>
          <w:rFonts w:cs="Calibri"/>
        </w:rPr>
        <w:t xml:space="preserve">Univerza v Mariboru </w:t>
      </w:r>
    </w:p>
    <w:p w14:paraId="35402864" w14:textId="77777777" w:rsidR="00CC74B2" w:rsidRPr="00CC74B2" w:rsidRDefault="00CC74B2" w:rsidP="009811F9">
      <w:pPr>
        <w:spacing w:after="0"/>
        <w:ind w:left="4678"/>
        <w:rPr>
          <w:rFonts w:cs="Calibri"/>
        </w:rPr>
      </w:pPr>
      <w:r w:rsidRPr="00CC74B2">
        <w:rPr>
          <w:rFonts w:cs="Calibri"/>
        </w:rPr>
        <w:t xml:space="preserve">Fakulteta za kmetijstvo in </w:t>
      </w:r>
      <w:proofErr w:type="spellStart"/>
      <w:r w:rsidRPr="00CC74B2">
        <w:rPr>
          <w:rFonts w:cs="Calibri"/>
        </w:rPr>
        <w:t>biosistemske</w:t>
      </w:r>
      <w:proofErr w:type="spellEnd"/>
      <w:r w:rsidRPr="00CC74B2">
        <w:rPr>
          <w:rFonts w:cs="Calibri"/>
        </w:rPr>
        <w:t xml:space="preserve"> vede </w:t>
      </w:r>
    </w:p>
    <w:p w14:paraId="795A510D" w14:textId="21E4DE6C" w:rsidR="00CC74B2" w:rsidRPr="00CC74B2" w:rsidRDefault="00E36725" w:rsidP="009811F9">
      <w:pPr>
        <w:spacing w:after="0"/>
        <w:ind w:left="4678"/>
        <w:rPr>
          <w:rFonts w:cs="Calibri"/>
        </w:rPr>
      </w:pPr>
      <w:r>
        <w:rPr>
          <w:rFonts w:cs="Calibri"/>
        </w:rPr>
        <w:t>dekan</w:t>
      </w:r>
    </w:p>
    <w:p w14:paraId="18E45FED" w14:textId="7E960046" w:rsidR="00CC74B2" w:rsidRPr="00CC74B2" w:rsidRDefault="00E36725" w:rsidP="009811F9">
      <w:pPr>
        <w:spacing w:after="0"/>
        <w:ind w:left="4678"/>
        <w:rPr>
          <w:rFonts w:cs="Calibri"/>
        </w:rPr>
      </w:pPr>
      <w:r>
        <w:rPr>
          <w:rFonts w:cs="Calibri"/>
        </w:rPr>
        <w:t>red. prof. dr. Aleš Gregorc</w:t>
      </w:r>
    </w:p>
    <w:p w14:paraId="0C40D8D9" w14:textId="77777777" w:rsidR="00CC74B2" w:rsidRPr="00CC74B2" w:rsidRDefault="00CC74B2" w:rsidP="00CC74B2">
      <w:pPr>
        <w:rPr>
          <w:rFonts w:cs="Calibri"/>
        </w:rPr>
      </w:pPr>
    </w:p>
    <w:p w14:paraId="4CC62EBF" w14:textId="77777777" w:rsidR="006B3214" w:rsidRDefault="006B3214" w:rsidP="00CC74B2">
      <w:pPr>
        <w:rPr>
          <w:rFonts w:cs="Calibri"/>
        </w:rPr>
      </w:pPr>
    </w:p>
    <w:p w14:paraId="0AC0B4D7" w14:textId="77777777" w:rsidR="006B3214" w:rsidRDefault="006B3214" w:rsidP="00CC74B2">
      <w:pPr>
        <w:rPr>
          <w:rFonts w:cs="Calibri"/>
        </w:rPr>
      </w:pPr>
    </w:p>
    <w:p w14:paraId="05F1A6CA" w14:textId="69FC2FBF" w:rsidR="00CC74B2" w:rsidRPr="00CC74B2" w:rsidRDefault="00CC74B2" w:rsidP="00CC74B2">
      <w:pPr>
        <w:rPr>
          <w:rFonts w:cs="Calibri"/>
        </w:rPr>
      </w:pPr>
      <w:r w:rsidRPr="00CC74B2">
        <w:rPr>
          <w:rFonts w:cs="Calibri"/>
        </w:rPr>
        <w:lastRenderedPageBreak/>
        <w:t>Priloge:</w:t>
      </w:r>
    </w:p>
    <w:p w14:paraId="2298394C" w14:textId="58A215FA" w:rsidR="00CC74B2" w:rsidRPr="00CC74B2" w:rsidRDefault="00CC74B2" w:rsidP="00762000">
      <w:pPr>
        <w:numPr>
          <w:ilvl w:val="0"/>
          <w:numId w:val="3"/>
        </w:numPr>
        <w:jc w:val="both"/>
        <w:rPr>
          <w:rFonts w:cs="Calibri"/>
        </w:rPr>
      </w:pPr>
      <w:r w:rsidRPr="00CC74B2">
        <w:rPr>
          <w:rFonts w:cs="Calibri"/>
        </w:rPr>
        <w:t>obrazec za kandidaturo tutorja študenta oz. koordinatorja tutorjev študentov v študijskem letu 202</w:t>
      </w:r>
      <w:r w:rsidR="00762000">
        <w:rPr>
          <w:rFonts w:cs="Calibri"/>
        </w:rPr>
        <w:t>5</w:t>
      </w:r>
      <w:r w:rsidRPr="00CC74B2">
        <w:rPr>
          <w:rFonts w:cs="Calibri"/>
        </w:rPr>
        <w:t>/202</w:t>
      </w:r>
      <w:r w:rsidR="00762000">
        <w:rPr>
          <w:rFonts w:cs="Calibri"/>
        </w:rPr>
        <w:t>6</w:t>
      </w:r>
    </w:p>
    <w:p w14:paraId="44DAEF00" w14:textId="77777777" w:rsidR="00CC74B2" w:rsidRPr="00CC74B2" w:rsidRDefault="00CC74B2" w:rsidP="00762000">
      <w:pPr>
        <w:numPr>
          <w:ilvl w:val="0"/>
          <w:numId w:val="3"/>
        </w:numPr>
        <w:jc w:val="both"/>
        <w:rPr>
          <w:rFonts w:cs="Calibri"/>
        </w:rPr>
      </w:pPr>
      <w:r w:rsidRPr="00CC74B2">
        <w:rPr>
          <w:rFonts w:cs="Calibri"/>
        </w:rPr>
        <w:t>vzorec poročila o tutorskem delu</w:t>
      </w:r>
    </w:p>
    <w:p w14:paraId="779D9F84" w14:textId="7800EEDD" w:rsidR="00CD1F12" w:rsidRDefault="00CC74B2" w:rsidP="00731D2B">
      <w:pPr>
        <w:numPr>
          <w:ilvl w:val="0"/>
          <w:numId w:val="3"/>
        </w:numPr>
      </w:pPr>
      <w:r w:rsidRPr="00427F09">
        <w:rPr>
          <w:rFonts w:cs="Calibri"/>
        </w:rPr>
        <w:t>terminski razpored obveznega usposabljanja tutorjev študentov</w:t>
      </w:r>
      <w:r w:rsidR="00762000" w:rsidRPr="00427F09">
        <w:rPr>
          <w:rFonts w:cs="Calibri"/>
        </w:rPr>
        <w:t xml:space="preserve"> v študijskem letu 2025/2026</w:t>
      </w:r>
    </w:p>
    <w:p w14:paraId="74FD9019" w14:textId="77777777" w:rsidR="00CD1F12" w:rsidRDefault="00CD1F12" w:rsidP="004035A4">
      <w:pPr>
        <w:tabs>
          <w:tab w:val="left" w:pos="1862"/>
        </w:tabs>
      </w:pPr>
    </w:p>
    <w:p w14:paraId="3E8E06BE" w14:textId="77777777" w:rsidR="00CD1F12" w:rsidRDefault="00CD1F12" w:rsidP="004035A4">
      <w:pPr>
        <w:tabs>
          <w:tab w:val="left" w:pos="1862"/>
        </w:tabs>
      </w:pPr>
    </w:p>
    <w:p w14:paraId="69A58402" w14:textId="77777777" w:rsidR="00CD1F12" w:rsidRDefault="00CD1F12" w:rsidP="004035A4">
      <w:pPr>
        <w:tabs>
          <w:tab w:val="left" w:pos="1862"/>
        </w:tabs>
      </w:pPr>
    </w:p>
    <w:p w14:paraId="0DC62A87" w14:textId="77777777" w:rsidR="00CD1F12" w:rsidRDefault="00CD1F12" w:rsidP="004035A4">
      <w:pPr>
        <w:tabs>
          <w:tab w:val="left" w:pos="1862"/>
        </w:tabs>
      </w:pPr>
    </w:p>
    <w:p w14:paraId="065A42CE" w14:textId="77777777" w:rsidR="00CD1F12" w:rsidRDefault="00CD1F12" w:rsidP="004035A4">
      <w:pPr>
        <w:tabs>
          <w:tab w:val="left" w:pos="1862"/>
        </w:tabs>
      </w:pPr>
    </w:p>
    <w:p w14:paraId="4FC1906F" w14:textId="77777777" w:rsidR="00CD1F12" w:rsidRDefault="00CD1F12" w:rsidP="004035A4">
      <w:pPr>
        <w:tabs>
          <w:tab w:val="left" w:pos="1862"/>
        </w:tabs>
      </w:pPr>
    </w:p>
    <w:p w14:paraId="4FCEC39F" w14:textId="77777777" w:rsidR="00CD1F12" w:rsidRDefault="00CD1F12" w:rsidP="004035A4">
      <w:pPr>
        <w:tabs>
          <w:tab w:val="left" w:pos="1862"/>
        </w:tabs>
      </w:pPr>
    </w:p>
    <w:p w14:paraId="4A3387AC" w14:textId="77777777" w:rsidR="00CD1F12" w:rsidRDefault="00CD1F12" w:rsidP="004035A4">
      <w:pPr>
        <w:tabs>
          <w:tab w:val="left" w:pos="1862"/>
        </w:tabs>
      </w:pPr>
    </w:p>
    <w:p w14:paraId="35E8B451" w14:textId="77777777" w:rsidR="00CD1F12" w:rsidRDefault="00CD1F12" w:rsidP="004035A4">
      <w:pPr>
        <w:tabs>
          <w:tab w:val="left" w:pos="1862"/>
        </w:tabs>
      </w:pPr>
    </w:p>
    <w:p w14:paraId="3B5A514E" w14:textId="77777777" w:rsidR="00CD1F12" w:rsidRDefault="00CD1F12" w:rsidP="004035A4">
      <w:pPr>
        <w:tabs>
          <w:tab w:val="left" w:pos="1862"/>
        </w:tabs>
      </w:pPr>
    </w:p>
    <w:p w14:paraId="12EDFAED" w14:textId="77777777" w:rsidR="00CD1F12" w:rsidRPr="004035A4" w:rsidRDefault="00CD1F12" w:rsidP="004035A4">
      <w:pPr>
        <w:tabs>
          <w:tab w:val="left" w:pos="1862"/>
        </w:tabs>
        <w:rPr>
          <w:rFonts w:cs="Calibri"/>
        </w:rPr>
      </w:pPr>
    </w:p>
    <w:sectPr w:rsidR="00CD1F12" w:rsidRPr="004035A4" w:rsidSect="00CD1F12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14E8" w14:textId="77777777" w:rsidR="00BA0A8E" w:rsidRDefault="00BA0A8E" w:rsidP="00695F2E">
      <w:pPr>
        <w:spacing w:after="0"/>
      </w:pPr>
      <w:r>
        <w:separator/>
      </w:r>
    </w:p>
  </w:endnote>
  <w:endnote w:type="continuationSeparator" w:id="0">
    <w:p w14:paraId="0B24A5D1" w14:textId="77777777" w:rsidR="00BA0A8E" w:rsidRDefault="00BA0A8E" w:rsidP="00695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C59A" w14:textId="77777777" w:rsidR="00CD1F12" w:rsidRPr="007564BD" w:rsidRDefault="00CD1F12" w:rsidP="00CD1F12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745575B7" w14:textId="77777777" w:rsidR="00CD1F12" w:rsidRDefault="00CD1F1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064"/>
      <w:gridCol w:w="3021"/>
    </w:tblGrid>
    <w:tr w:rsidR="00CD1F12" w14:paraId="61D539AC" w14:textId="77777777" w:rsidTr="00E77835">
      <w:trPr>
        <w:trHeight w:val="132"/>
      </w:trPr>
      <w:tc>
        <w:tcPr>
          <w:tcW w:w="2977" w:type="dxa"/>
        </w:tcPr>
        <w:p w14:paraId="52B9CC67" w14:textId="77777777" w:rsidR="00CD1F12" w:rsidRDefault="00CD1F12" w:rsidP="00CD1F12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  <w:r>
            <w:tab/>
          </w:r>
        </w:p>
      </w:tc>
      <w:tc>
        <w:tcPr>
          <w:tcW w:w="3064" w:type="dxa"/>
        </w:tcPr>
        <w:p w14:paraId="3CE37717" w14:textId="77777777" w:rsidR="00CD1F12" w:rsidRDefault="00CD1F12" w:rsidP="00CD1F12">
          <w:pPr>
            <w:pStyle w:val="Glava"/>
            <w:tabs>
              <w:tab w:val="clear" w:pos="4536"/>
              <w:tab w:val="clear" w:pos="9072"/>
              <w:tab w:val="center" w:pos="1437"/>
            </w:tabs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 wp14:anchorId="2579739D" wp14:editId="3F551F68">
                <wp:extent cx="1080000" cy="518400"/>
                <wp:effectExtent l="0" t="0" r="6350" b="0"/>
                <wp:docPr id="1220687840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817829" name="Grafika 22381782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7D5C87DE" w14:textId="77777777" w:rsidR="00CD1F12" w:rsidRDefault="00CD1F12" w:rsidP="00CD1F12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</w:tr>
  </w:tbl>
  <w:p w14:paraId="4C125639" w14:textId="77777777" w:rsidR="00CD1F12" w:rsidRPr="00CD1F12" w:rsidRDefault="00CD1F12" w:rsidP="00CD1F12">
    <w:pPr>
      <w:pStyle w:val="Noga"/>
      <w:spacing w:before="120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 xml:space="preserve">w: </w:t>
    </w:r>
    <w:r w:rsidRPr="00C62A66">
      <w:rPr>
        <w:rStyle w:val="A1"/>
        <w:rFonts w:ascii="Calibri" w:hAnsi="Calibri"/>
        <w:sz w:val="18"/>
        <w:szCs w:val="18"/>
      </w:rPr>
      <w:t xml:space="preserve">www.fkbv.um.si | </w:t>
    </w:r>
    <w:r>
      <w:rPr>
        <w:rStyle w:val="A1"/>
        <w:rFonts w:ascii="Calibri" w:hAnsi="Calibri"/>
        <w:sz w:val="18"/>
        <w:szCs w:val="18"/>
      </w:rPr>
      <w:t xml:space="preserve">e: </w:t>
    </w:r>
    <w:r w:rsidRPr="00C62A66">
      <w:rPr>
        <w:rStyle w:val="A1"/>
        <w:rFonts w:ascii="Calibri" w:hAnsi="Calibri"/>
        <w:sz w:val="18"/>
        <w:szCs w:val="18"/>
      </w:rPr>
      <w:t>fkbv@um.si | t</w:t>
    </w:r>
    <w:r>
      <w:rPr>
        <w:rStyle w:val="A1"/>
        <w:rFonts w:ascii="Calibri" w:hAnsi="Calibri"/>
        <w:sz w:val="18"/>
        <w:szCs w:val="18"/>
      </w:rPr>
      <w:t>:</w:t>
    </w:r>
    <w:r w:rsidRPr="00C62A66">
      <w:rPr>
        <w:rStyle w:val="A1"/>
        <w:rFonts w:ascii="Calibri" w:hAnsi="Calibri"/>
        <w:sz w:val="18"/>
        <w:szCs w:val="18"/>
      </w:rPr>
      <w:t xml:space="preserve"> +386 2 320 90 00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91F3" w14:textId="77777777" w:rsidR="00BA0A8E" w:rsidRDefault="00BA0A8E" w:rsidP="00695F2E">
      <w:pPr>
        <w:spacing w:after="0"/>
      </w:pPr>
      <w:r>
        <w:separator/>
      </w:r>
    </w:p>
  </w:footnote>
  <w:footnote w:type="continuationSeparator" w:id="0">
    <w:p w14:paraId="1182E2A2" w14:textId="77777777" w:rsidR="00BA0A8E" w:rsidRDefault="00BA0A8E" w:rsidP="00695F2E">
      <w:pPr>
        <w:spacing w:after="0"/>
      </w:pPr>
      <w:r>
        <w:continuationSeparator/>
      </w:r>
    </w:p>
  </w:footnote>
  <w:footnote w:id="1">
    <w:p w14:paraId="5AE3B890" w14:textId="77777777" w:rsidR="00CC74B2" w:rsidRDefault="00CC74B2" w:rsidP="00CC74B2">
      <w:pPr>
        <w:pStyle w:val="Sprotnaopomba-besedilo"/>
        <w:rPr>
          <w:rFonts w:cstheme="minorBidi"/>
        </w:rPr>
      </w:pPr>
      <w:r>
        <w:rPr>
          <w:rStyle w:val="Sprotnaopomba-sklic"/>
          <w:rFonts w:eastAsiaTheme="majorEastAsia"/>
        </w:rPr>
        <w:footnoteRef/>
      </w:r>
      <w:r>
        <w:t xml:space="preserve"> Izrazi, ki se nanašajo na osebe in so zapisani v moški slovnični obliki, se uporabljajo kot nevtralni za vse spole.</w:t>
      </w:r>
    </w:p>
  </w:footnote>
  <w:footnote w:id="2">
    <w:p w14:paraId="6D2C5762" w14:textId="22E87086" w:rsidR="00CC74B2" w:rsidRDefault="00CC74B2" w:rsidP="00CC74B2">
      <w:pPr>
        <w:pStyle w:val="Sprotnaopomba-besedilo"/>
        <w:jc w:val="both"/>
      </w:pPr>
      <w:r>
        <w:rPr>
          <w:rStyle w:val="Sprotnaopomba-sklic"/>
          <w:rFonts w:eastAsiaTheme="majorEastAsia"/>
        </w:rPr>
        <w:footnoteRef/>
      </w:r>
      <w:r>
        <w:t xml:space="preserve"> Točen opis nalog izhaja iz Navodila o izvajanju tutorskega sistema na Univerzi v Mariboru, št. 012/N 6/2023/400-AG ter Navodil o izvajanju tutorskega sistema na </w:t>
      </w:r>
      <w:r w:rsidR="00A43358">
        <w:t>UM FKBV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3003"/>
      <w:gridCol w:w="3066"/>
      <w:gridCol w:w="3003"/>
    </w:tblGrid>
    <w:tr w:rsidR="00CD1F12" w14:paraId="1CD63B74" w14:textId="77777777" w:rsidTr="00E77835">
      <w:trPr>
        <w:trHeight w:val="1560"/>
      </w:trPr>
      <w:tc>
        <w:tcPr>
          <w:tcW w:w="3070" w:type="dxa"/>
          <w:shd w:val="clear" w:color="auto" w:fill="auto"/>
        </w:tcPr>
        <w:p w14:paraId="313E70FF" w14:textId="77777777" w:rsidR="00CD1F12" w:rsidRDefault="00CD1F12" w:rsidP="00CD1F12">
          <w:pPr>
            <w:pStyle w:val="Glava"/>
            <w:jc w:val="center"/>
            <w:rPr>
              <w:noProof/>
              <w:lang w:eastAsia="sl-SI"/>
            </w:rPr>
          </w:pPr>
        </w:p>
        <w:p w14:paraId="4381B4DD" w14:textId="77777777" w:rsidR="00CD1F12" w:rsidRPr="00EB0EF4" w:rsidRDefault="00CD1F12" w:rsidP="00CD1F12">
          <w:pPr>
            <w:rPr>
              <w:lang w:eastAsia="sl-SI"/>
            </w:rPr>
          </w:pPr>
        </w:p>
        <w:p w14:paraId="62044E09" w14:textId="77777777" w:rsidR="00CD1F12" w:rsidRDefault="00CD1F12" w:rsidP="00CD1F12">
          <w:pPr>
            <w:rPr>
              <w:noProof/>
              <w:lang w:eastAsia="sl-SI"/>
            </w:rPr>
          </w:pPr>
        </w:p>
        <w:p w14:paraId="5A32A19C" w14:textId="77777777" w:rsidR="00CD1F12" w:rsidRPr="00EB0EF4" w:rsidRDefault="00CD1F12" w:rsidP="00CD1F12">
          <w:pPr>
            <w:ind w:firstLine="708"/>
            <w:rPr>
              <w:lang w:eastAsia="sl-SI"/>
            </w:rPr>
          </w:pPr>
        </w:p>
      </w:tc>
      <w:tc>
        <w:tcPr>
          <w:tcW w:w="3071" w:type="dxa"/>
          <w:shd w:val="clear" w:color="auto" w:fill="auto"/>
        </w:tcPr>
        <w:p w14:paraId="636EBE8D" w14:textId="77777777" w:rsidR="00CD1F12" w:rsidRDefault="00CD1F12" w:rsidP="00CD1F12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42E80BC" wp14:editId="070D54C3">
                <wp:extent cx="1742400" cy="954000"/>
                <wp:effectExtent l="0" t="0" r="0" b="0"/>
                <wp:docPr id="916178366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136687" name="Grafika 21913668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2A91221B" w14:textId="77777777" w:rsidR="00CD1F12" w:rsidRDefault="00CD1F12" w:rsidP="00CD1F12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CD1F12" w14:paraId="436AF28F" w14:textId="77777777" w:rsidTr="00E77835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61B39C38" w14:textId="77777777" w:rsidR="00CD1F12" w:rsidRDefault="00CD1F12" w:rsidP="00CD1F12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427CEA55" w14:textId="77777777" w:rsidR="00CD1F12" w:rsidRPr="00F22891" w:rsidRDefault="00CD1F12" w:rsidP="00CD1F12">
          <w:pPr>
            <w:pStyle w:val="Glava"/>
            <w:tabs>
              <w:tab w:val="clear" w:pos="9072"/>
            </w:tabs>
            <w:jc w:val="center"/>
            <w:rPr>
              <w:rFonts w:ascii="Calibri" w:hAnsi="Calibri" w:cs="Calibri"/>
            </w:rPr>
          </w:pPr>
          <w:r w:rsidRPr="00F22891">
            <w:rPr>
              <w:rFonts w:ascii="Calibri" w:hAnsi="Calibri" w:cs="Calibri"/>
              <w:color w:val="006A8E"/>
              <w:sz w:val="18"/>
            </w:rPr>
            <w:t>Pivola 10</w:t>
          </w:r>
          <w:r w:rsidRPr="00F22891">
            <w:rPr>
              <w:rFonts w:ascii="Calibri" w:hAnsi="Calibri" w:cs="Calibri"/>
              <w:color w:val="006A8E"/>
              <w:sz w:val="18"/>
            </w:rPr>
            <w:br/>
            <w:t>2311 Hoče, Slovenija</w:t>
          </w:r>
        </w:p>
      </w:tc>
      <w:tc>
        <w:tcPr>
          <w:tcW w:w="3071" w:type="dxa"/>
          <w:shd w:val="clear" w:color="auto" w:fill="auto"/>
          <w:vAlign w:val="bottom"/>
        </w:tcPr>
        <w:p w14:paraId="4D369E7D" w14:textId="77777777" w:rsidR="00CD1F12" w:rsidRDefault="00CD1F12" w:rsidP="00CD1F12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78E826EC" w14:textId="77777777" w:rsidR="00CD1F12" w:rsidRDefault="00CD1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1A2"/>
    <w:multiLevelType w:val="hybridMultilevel"/>
    <w:tmpl w:val="FA96ED8A"/>
    <w:lvl w:ilvl="0" w:tplc="4224A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36F9"/>
    <w:multiLevelType w:val="hybridMultilevel"/>
    <w:tmpl w:val="EDD8F66E"/>
    <w:lvl w:ilvl="0" w:tplc="95A67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2CA1"/>
    <w:multiLevelType w:val="hybridMultilevel"/>
    <w:tmpl w:val="5C18938C"/>
    <w:lvl w:ilvl="0" w:tplc="F146AB8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59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108652">
    <w:abstractNumId w:val="1"/>
  </w:num>
  <w:num w:numId="3" w16cid:durableId="123242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B2"/>
    <w:rsid w:val="00015932"/>
    <w:rsid w:val="00017465"/>
    <w:rsid w:val="00031D66"/>
    <w:rsid w:val="00033F84"/>
    <w:rsid w:val="00041438"/>
    <w:rsid w:val="00043918"/>
    <w:rsid w:val="00062511"/>
    <w:rsid w:val="00062B14"/>
    <w:rsid w:val="00070F29"/>
    <w:rsid w:val="00080570"/>
    <w:rsid w:val="000B1F6B"/>
    <w:rsid w:val="000B2187"/>
    <w:rsid w:val="000D367C"/>
    <w:rsid w:val="000E297C"/>
    <w:rsid w:val="000E3647"/>
    <w:rsid w:val="000F16F9"/>
    <w:rsid w:val="000F46C6"/>
    <w:rsid w:val="000F476E"/>
    <w:rsid w:val="001138B6"/>
    <w:rsid w:val="00120522"/>
    <w:rsid w:val="00144296"/>
    <w:rsid w:val="00155D92"/>
    <w:rsid w:val="00164EAD"/>
    <w:rsid w:val="00194844"/>
    <w:rsid w:val="001A2741"/>
    <w:rsid w:val="001B5316"/>
    <w:rsid w:val="001C2855"/>
    <w:rsid w:val="001D71F8"/>
    <w:rsid w:val="001D7C7C"/>
    <w:rsid w:val="001E2616"/>
    <w:rsid w:val="00205EC2"/>
    <w:rsid w:val="00214D0D"/>
    <w:rsid w:val="002229E2"/>
    <w:rsid w:val="00235876"/>
    <w:rsid w:val="00262110"/>
    <w:rsid w:val="002E6C72"/>
    <w:rsid w:val="002E6E02"/>
    <w:rsid w:val="0030226D"/>
    <w:rsid w:val="003A05A5"/>
    <w:rsid w:val="003B4A81"/>
    <w:rsid w:val="003B58E4"/>
    <w:rsid w:val="003C09AF"/>
    <w:rsid w:val="003C1098"/>
    <w:rsid w:val="003E28DA"/>
    <w:rsid w:val="003E5059"/>
    <w:rsid w:val="003E5A64"/>
    <w:rsid w:val="003F727E"/>
    <w:rsid w:val="004035A4"/>
    <w:rsid w:val="00427F09"/>
    <w:rsid w:val="004560B8"/>
    <w:rsid w:val="00464E37"/>
    <w:rsid w:val="004837D0"/>
    <w:rsid w:val="00493D00"/>
    <w:rsid w:val="004C185E"/>
    <w:rsid w:val="004C5BAF"/>
    <w:rsid w:val="004E4217"/>
    <w:rsid w:val="00503BF8"/>
    <w:rsid w:val="0050518D"/>
    <w:rsid w:val="00534CC7"/>
    <w:rsid w:val="00580503"/>
    <w:rsid w:val="00583546"/>
    <w:rsid w:val="00584581"/>
    <w:rsid w:val="00584F2B"/>
    <w:rsid w:val="0058751C"/>
    <w:rsid w:val="005B2A3F"/>
    <w:rsid w:val="005B674E"/>
    <w:rsid w:val="005E3F12"/>
    <w:rsid w:val="005F29E9"/>
    <w:rsid w:val="00623EFD"/>
    <w:rsid w:val="006248CA"/>
    <w:rsid w:val="00624C56"/>
    <w:rsid w:val="006329E5"/>
    <w:rsid w:val="0064115A"/>
    <w:rsid w:val="00657FF4"/>
    <w:rsid w:val="0068400B"/>
    <w:rsid w:val="00695F2E"/>
    <w:rsid w:val="006B3214"/>
    <w:rsid w:val="006B791C"/>
    <w:rsid w:val="006D29F0"/>
    <w:rsid w:val="006E2ECF"/>
    <w:rsid w:val="006E5E31"/>
    <w:rsid w:val="00710EFB"/>
    <w:rsid w:val="00714BBB"/>
    <w:rsid w:val="0072438D"/>
    <w:rsid w:val="00762000"/>
    <w:rsid w:val="00776898"/>
    <w:rsid w:val="007A427D"/>
    <w:rsid w:val="007F65C9"/>
    <w:rsid w:val="00827B65"/>
    <w:rsid w:val="00837BE2"/>
    <w:rsid w:val="00896BC3"/>
    <w:rsid w:val="008B11BD"/>
    <w:rsid w:val="008B5F7B"/>
    <w:rsid w:val="008C606F"/>
    <w:rsid w:val="008E74DD"/>
    <w:rsid w:val="009466AA"/>
    <w:rsid w:val="009655CF"/>
    <w:rsid w:val="00973969"/>
    <w:rsid w:val="009811F9"/>
    <w:rsid w:val="009B11EF"/>
    <w:rsid w:val="009D41D6"/>
    <w:rsid w:val="00A26A74"/>
    <w:rsid w:val="00A43358"/>
    <w:rsid w:val="00A723C5"/>
    <w:rsid w:val="00A910D9"/>
    <w:rsid w:val="00AF3D45"/>
    <w:rsid w:val="00AF56DC"/>
    <w:rsid w:val="00B13EA0"/>
    <w:rsid w:val="00B15A52"/>
    <w:rsid w:val="00B30A43"/>
    <w:rsid w:val="00B40119"/>
    <w:rsid w:val="00B41F40"/>
    <w:rsid w:val="00B73F8D"/>
    <w:rsid w:val="00B91051"/>
    <w:rsid w:val="00BA0A8E"/>
    <w:rsid w:val="00BC343E"/>
    <w:rsid w:val="00BC4A2F"/>
    <w:rsid w:val="00BC6B4A"/>
    <w:rsid w:val="00BF4150"/>
    <w:rsid w:val="00C03E3C"/>
    <w:rsid w:val="00C120AE"/>
    <w:rsid w:val="00C33477"/>
    <w:rsid w:val="00C374E0"/>
    <w:rsid w:val="00C4291D"/>
    <w:rsid w:val="00C9682E"/>
    <w:rsid w:val="00CC5056"/>
    <w:rsid w:val="00CC5FE1"/>
    <w:rsid w:val="00CC74B2"/>
    <w:rsid w:val="00CD1F12"/>
    <w:rsid w:val="00CE3DD6"/>
    <w:rsid w:val="00CE760B"/>
    <w:rsid w:val="00CF0545"/>
    <w:rsid w:val="00CF384D"/>
    <w:rsid w:val="00CF48DF"/>
    <w:rsid w:val="00D105FA"/>
    <w:rsid w:val="00D35475"/>
    <w:rsid w:val="00D84B5C"/>
    <w:rsid w:val="00D94ABE"/>
    <w:rsid w:val="00DA32F5"/>
    <w:rsid w:val="00DD087C"/>
    <w:rsid w:val="00E003F3"/>
    <w:rsid w:val="00E045CA"/>
    <w:rsid w:val="00E24A01"/>
    <w:rsid w:val="00E34D15"/>
    <w:rsid w:val="00E36725"/>
    <w:rsid w:val="00E40CCB"/>
    <w:rsid w:val="00EA587F"/>
    <w:rsid w:val="00EE19AF"/>
    <w:rsid w:val="00EE52F4"/>
    <w:rsid w:val="00EE70B4"/>
    <w:rsid w:val="00F20C35"/>
    <w:rsid w:val="00F22891"/>
    <w:rsid w:val="00F52D3E"/>
    <w:rsid w:val="00FB2CAA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7E1A"/>
  <w15:chartTrackingRefBased/>
  <w15:docId w15:val="{67E28920-FE3C-4B62-8B42-EDA98722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0570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F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F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F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F2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F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F2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F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F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5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9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5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9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5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95F2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5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95F2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5F2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5F2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695F2E"/>
  </w:style>
  <w:style w:type="paragraph" w:styleId="Noga">
    <w:name w:val="footer"/>
    <w:basedOn w:val="Navaden"/>
    <w:link w:val="Nog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695F2E"/>
  </w:style>
  <w:style w:type="table" w:styleId="Tabelamrea">
    <w:name w:val="Table Grid"/>
    <w:basedOn w:val="Navadnatabela"/>
    <w:uiPriority w:val="39"/>
    <w:rsid w:val="00B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qFormat/>
    <w:rsid w:val="00080570"/>
    <w:pPr>
      <w:spacing w:after="0"/>
    </w:pPr>
  </w:style>
  <w:style w:type="character" w:customStyle="1" w:styleId="A1">
    <w:name w:val="A1"/>
    <w:uiPriority w:val="99"/>
    <w:rsid w:val="00464E37"/>
    <w:rPr>
      <w:rFonts w:ascii="TitilliumText25L" w:hAnsi="TitilliumText25L" w:cs="TitilliumText25L"/>
      <w:color w:val="00688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C74B2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74B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CC7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KBVTajnistvo\OneDrive%20-%20Univerza%20v%20Mariboru\eZADEVE\CGP_Celostna%20graficna%20podoba_predloge%20za%20dokumente\2025_01_22_dopis%20v%20letu%202025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11" ma:contentTypeDescription="Ustvari nov dokument." ma:contentTypeScope="" ma:versionID="b27a18ab2ab21a0423ebb1ab6930df7c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d8a749749b57f68bbca205918455df88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A2259-3EE6-478A-B3DF-5FAE4D307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EFB4C-29F3-4C80-94A8-424F5BDB5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FC44E-CE3F-4561-AEDA-674DA423546B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2025_01_22_dopis v letu 2025</Template>
  <TotalTime>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50 let Univerze v Mariboru;</vt:lpstr>
    </vt:vector>
  </TitlesOfParts>
  <Company>Univerza v Mariboru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let Univerze v Mariboru;</dc:title>
  <dc:subject/>
  <dc:creator>FKBVTajnistvo</dc:creator>
  <cp:keywords>Dopis</cp:keywords>
  <dc:description/>
  <cp:lastModifiedBy>Anita Fras</cp:lastModifiedBy>
  <cp:revision>3</cp:revision>
  <cp:lastPrinted>2024-10-11T06:20:00Z</cp:lastPrinted>
  <dcterms:created xsi:type="dcterms:W3CDTF">2025-06-26T13:26:00Z</dcterms:created>
  <dcterms:modified xsi:type="dcterms:W3CDTF">2025-06-26T13:27:00Z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</Properties>
</file>