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B67A" w14:textId="77777777" w:rsidR="00F1084A" w:rsidRDefault="00F1084A" w:rsidP="006837C4"/>
    <w:p w14:paraId="5D783EE2" w14:textId="2AAAC0F5" w:rsidR="002335B5" w:rsidRDefault="00CF18BE" w:rsidP="002259E4">
      <w:pPr>
        <w:tabs>
          <w:tab w:val="left" w:pos="6663"/>
        </w:tabs>
        <w:spacing w:after="0"/>
      </w:pPr>
      <w:r>
        <w:tab/>
      </w:r>
      <w:r w:rsidR="002335B5">
        <w:t xml:space="preserve">Številka: </w:t>
      </w:r>
      <w:r>
        <w:t>074-1/2023-2</w:t>
      </w:r>
    </w:p>
    <w:p w14:paraId="691158C3" w14:textId="2AF2CCA9" w:rsidR="00054766" w:rsidRDefault="002259E4" w:rsidP="002259E4">
      <w:pPr>
        <w:tabs>
          <w:tab w:val="left" w:pos="6663"/>
        </w:tabs>
      </w:pPr>
      <w:r>
        <w:tab/>
      </w:r>
      <w:r w:rsidR="00F31071">
        <w:t>Hoče</w:t>
      </w:r>
      <w:r w:rsidR="00054766">
        <w:t xml:space="preserve">, </w:t>
      </w:r>
      <w:r w:rsidR="00CF18BE">
        <w:t>27</w:t>
      </w:r>
      <w:r w:rsidR="00054766">
        <w:t>.</w:t>
      </w:r>
      <w:r w:rsidR="00CF18BE">
        <w:t> 10</w:t>
      </w:r>
      <w:r w:rsidR="00054766">
        <w:t>.</w:t>
      </w:r>
      <w:r w:rsidR="00CF18BE">
        <w:t> 2023</w:t>
      </w:r>
    </w:p>
    <w:p w14:paraId="559ED99F" w14:textId="264E1B40" w:rsidR="00054766" w:rsidRDefault="002259E4" w:rsidP="000164C9">
      <w:pPr>
        <w:pStyle w:val="Brezrazmikov"/>
      </w:pPr>
      <w:r>
        <w:br/>
      </w:r>
    </w:p>
    <w:p w14:paraId="523533D2" w14:textId="77777777" w:rsidR="00477A88" w:rsidRPr="00477A88" w:rsidRDefault="00477A88" w:rsidP="00477A88">
      <w:pPr>
        <w:jc w:val="center"/>
        <w:rPr>
          <w:b/>
          <w:sz w:val="28"/>
          <w:szCs w:val="28"/>
        </w:rPr>
      </w:pPr>
      <w:r w:rsidRPr="00477A88">
        <w:rPr>
          <w:b/>
          <w:sz w:val="28"/>
          <w:szCs w:val="28"/>
        </w:rPr>
        <w:t xml:space="preserve">Obvestilo o izvajanju videonadzora </w:t>
      </w:r>
    </w:p>
    <w:p w14:paraId="6D565D92" w14:textId="52178DD6" w:rsidR="00477A88" w:rsidRDefault="00053D9D" w:rsidP="00053D9D">
      <w:pPr>
        <w:spacing w:after="0"/>
        <w:jc w:val="center"/>
        <w:rPr>
          <w:b/>
        </w:rPr>
      </w:pPr>
      <w:r>
        <w:rPr>
          <w:b/>
        </w:rPr>
        <w:t xml:space="preserve">na območju nepremičnin </w:t>
      </w:r>
      <w:r w:rsidR="00477A88">
        <w:rPr>
          <w:b/>
        </w:rPr>
        <w:t xml:space="preserve">v upravljanju </w:t>
      </w:r>
      <w:r w:rsidR="00477A88" w:rsidRPr="00477A88">
        <w:rPr>
          <w:b/>
        </w:rPr>
        <w:t>Fakultet</w:t>
      </w:r>
      <w:r w:rsidR="00477A88">
        <w:rPr>
          <w:b/>
        </w:rPr>
        <w:t>e</w:t>
      </w:r>
      <w:r w:rsidR="00477A88" w:rsidRPr="00477A88">
        <w:rPr>
          <w:b/>
        </w:rPr>
        <w:t xml:space="preserve"> za kmetijstvo in </w:t>
      </w:r>
      <w:proofErr w:type="spellStart"/>
      <w:r w:rsidR="00477A88" w:rsidRPr="00477A88">
        <w:rPr>
          <w:b/>
        </w:rPr>
        <w:t>biosistemske</w:t>
      </w:r>
      <w:proofErr w:type="spellEnd"/>
      <w:r w:rsidR="00477A88" w:rsidRPr="00477A88">
        <w:rPr>
          <w:b/>
        </w:rPr>
        <w:t xml:space="preserve"> vede </w:t>
      </w:r>
    </w:p>
    <w:p w14:paraId="4A0F9C13" w14:textId="5E11D648" w:rsidR="00054766" w:rsidRDefault="00477A88" w:rsidP="00477A88">
      <w:pPr>
        <w:jc w:val="center"/>
        <w:rPr>
          <w:b/>
        </w:rPr>
      </w:pPr>
      <w:r w:rsidRPr="00477A88">
        <w:rPr>
          <w:b/>
        </w:rPr>
        <w:t>Univerze v Mariboru</w:t>
      </w:r>
    </w:p>
    <w:p w14:paraId="33DCB001" w14:textId="7546135F" w:rsidR="00477A88" w:rsidRDefault="00477A88" w:rsidP="00477A88">
      <w:pPr>
        <w:spacing w:after="0"/>
        <w:jc w:val="center"/>
      </w:pPr>
      <w:r w:rsidRPr="00477A88">
        <w:t>3. odstavek 76. člena Zakona o varstvu osebnih podatkov (Uradni list RS, št. 163/2022</w:t>
      </w:r>
      <w:r w:rsidR="005B7545">
        <w:t>; ZVOP-2</w:t>
      </w:r>
      <w:r w:rsidRPr="00477A88">
        <w:t xml:space="preserve">) </w:t>
      </w:r>
    </w:p>
    <w:p w14:paraId="4611C7C8" w14:textId="29E6FF49" w:rsidR="00477A88" w:rsidRPr="00477A88" w:rsidRDefault="00477A88" w:rsidP="00477A88">
      <w:pPr>
        <w:spacing w:after="0"/>
        <w:jc w:val="center"/>
      </w:pPr>
      <w:r w:rsidRPr="00477A88">
        <w:t>v povezavi s 13. členom Splošne Uredbe o varstvu podatkov</w:t>
      </w:r>
      <w:r w:rsidRPr="00477A88">
        <w:rPr>
          <w:rStyle w:val="Sprotnaopomba-sklic"/>
        </w:rPr>
        <w:footnoteReference w:id="1"/>
      </w:r>
    </w:p>
    <w:p w14:paraId="57D86C9D" w14:textId="77777777" w:rsidR="009C4376" w:rsidRDefault="009C4376" w:rsidP="00D76383"/>
    <w:p w14:paraId="3267EDE2" w14:textId="79B0EE80" w:rsidR="008318EA" w:rsidRDefault="00A17EA6" w:rsidP="008318EA">
      <w:pPr>
        <w:rPr>
          <w:b/>
        </w:rPr>
      </w:pPr>
      <w:r w:rsidRPr="00A17EA6">
        <w:rPr>
          <w:b/>
        </w:rPr>
        <w:t>Upravljavec osebnih podatkov</w:t>
      </w:r>
      <w:r w:rsidR="00A46A19">
        <w:rPr>
          <w:b/>
        </w:rPr>
        <w:t>:</w:t>
      </w:r>
    </w:p>
    <w:tbl>
      <w:tblPr>
        <w:tblStyle w:val="Tabelamrea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395"/>
      </w:tblGrid>
      <w:tr w:rsidR="00A322E9" w:rsidRPr="00A322E9" w14:paraId="73C67535" w14:textId="77777777" w:rsidTr="0095338B">
        <w:tc>
          <w:tcPr>
            <w:tcW w:w="7513" w:type="dxa"/>
            <w:gridSpan w:val="2"/>
            <w:shd w:val="clear" w:color="auto" w:fill="DBE5F1" w:themeFill="accent1" w:themeFillTint="33"/>
          </w:tcPr>
          <w:p w14:paraId="4DD15C15" w14:textId="676376FD" w:rsidR="00A322E9" w:rsidRPr="00A322E9" w:rsidRDefault="00A322E9" w:rsidP="008318EA">
            <w:pPr>
              <w:rPr>
                <w:i/>
              </w:rPr>
            </w:pPr>
            <w:r w:rsidRPr="00A322E9">
              <w:rPr>
                <w:i/>
              </w:rPr>
              <w:t>Identiteta in kontaktni podatki upravljavca</w:t>
            </w:r>
          </w:p>
        </w:tc>
      </w:tr>
      <w:tr w:rsidR="00A17EA6" w14:paraId="4A55BD90" w14:textId="77777777" w:rsidTr="0095338B">
        <w:tc>
          <w:tcPr>
            <w:tcW w:w="3118" w:type="dxa"/>
          </w:tcPr>
          <w:p w14:paraId="3B3D1E16" w14:textId="532C885D" w:rsidR="00A17EA6" w:rsidRPr="00A322E9" w:rsidRDefault="00A17EA6" w:rsidP="008318EA">
            <w:r w:rsidRPr="00A322E9">
              <w:t>Naziv upravljavca</w:t>
            </w:r>
          </w:p>
        </w:tc>
        <w:tc>
          <w:tcPr>
            <w:tcW w:w="4395" w:type="dxa"/>
          </w:tcPr>
          <w:p w14:paraId="517F0879" w14:textId="77777777" w:rsidR="0095338B" w:rsidRDefault="00A17EA6" w:rsidP="00A322E9">
            <w:pPr>
              <w:spacing w:after="0"/>
              <w:rPr>
                <w:b/>
              </w:rPr>
            </w:pPr>
            <w:r>
              <w:rPr>
                <w:b/>
              </w:rPr>
              <w:t xml:space="preserve">Univerza v Mariboru </w:t>
            </w:r>
          </w:p>
          <w:p w14:paraId="7E17FA74" w14:textId="1D794CAB" w:rsidR="00A17EA6" w:rsidRDefault="00A17EA6" w:rsidP="00A322E9">
            <w:pPr>
              <w:spacing w:after="0"/>
              <w:rPr>
                <w:b/>
              </w:rPr>
            </w:pPr>
            <w:r w:rsidRPr="00A17EA6">
              <w:rPr>
                <w:b/>
              </w:rPr>
              <w:t xml:space="preserve">Fakulteta za kmetijstvo in </w:t>
            </w:r>
            <w:proofErr w:type="spellStart"/>
            <w:r w:rsidRPr="00A17EA6">
              <w:rPr>
                <w:b/>
              </w:rPr>
              <w:t>biosi</w:t>
            </w:r>
            <w:r>
              <w:rPr>
                <w:b/>
              </w:rPr>
              <w:t>st</w:t>
            </w:r>
            <w:r w:rsidR="00A322E9">
              <w:rPr>
                <w:b/>
              </w:rPr>
              <w:t>emske</w:t>
            </w:r>
            <w:proofErr w:type="spellEnd"/>
            <w:r w:rsidR="00A322E9">
              <w:rPr>
                <w:b/>
              </w:rPr>
              <w:t xml:space="preserve"> vede</w:t>
            </w:r>
          </w:p>
          <w:p w14:paraId="78114A21" w14:textId="7C4BAC25" w:rsidR="00A17EA6" w:rsidRPr="00A322E9" w:rsidRDefault="00A17EA6" w:rsidP="008318EA">
            <w:r w:rsidRPr="00A322E9">
              <w:t>(v nadaljevanju UM FKBV)</w:t>
            </w:r>
          </w:p>
        </w:tc>
      </w:tr>
      <w:tr w:rsidR="00A322E9" w14:paraId="0B7469A7" w14:textId="77777777" w:rsidTr="00053D9D">
        <w:tc>
          <w:tcPr>
            <w:tcW w:w="3118" w:type="dxa"/>
          </w:tcPr>
          <w:p w14:paraId="15EA2945" w14:textId="6E1818B2" w:rsidR="00A322E9" w:rsidRPr="00A322E9" w:rsidRDefault="00A322E9" w:rsidP="008318EA">
            <w:r w:rsidRPr="00A322E9">
              <w:t>Naslov upravljavca</w:t>
            </w:r>
          </w:p>
        </w:tc>
        <w:tc>
          <w:tcPr>
            <w:tcW w:w="4395" w:type="dxa"/>
            <w:vAlign w:val="center"/>
          </w:tcPr>
          <w:p w14:paraId="533DF888" w14:textId="142AD6A4" w:rsidR="00A322E9" w:rsidRDefault="00A322E9" w:rsidP="008318EA">
            <w:pPr>
              <w:rPr>
                <w:b/>
              </w:rPr>
            </w:pPr>
            <w:r>
              <w:rPr>
                <w:b/>
              </w:rPr>
              <w:t>Pivola 10, 2311 Hoče</w:t>
            </w:r>
          </w:p>
        </w:tc>
      </w:tr>
      <w:tr w:rsidR="00A322E9" w14:paraId="70E83285" w14:textId="77777777" w:rsidTr="00053D9D">
        <w:tc>
          <w:tcPr>
            <w:tcW w:w="3118" w:type="dxa"/>
          </w:tcPr>
          <w:p w14:paraId="1C0F86C0" w14:textId="77777777" w:rsidR="00A322E9" w:rsidRPr="00A322E9" w:rsidRDefault="00A322E9" w:rsidP="0095338B">
            <w:pPr>
              <w:spacing w:after="0"/>
            </w:pPr>
            <w:r w:rsidRPr="00A322E9">
              <w:t>Kontaktni e-naslov upravljavca</w:t>
            </w:r>
          </w:p>
          <w:p w14:paraId="0D305629" w14:textId="0A29660E" w:rsidR="00A322E9" w:rsidRPr="00A322E9" w:rsidRDefault="00A322E9" w:rsidP="008318EA">
            <w:pPr>
              <w:rPr>
                <w:i/>
                <w:sz w:val="20"/>
                <w:szCs w:val="20"/>
              </w:rPr>
            </w:pPr>
            <w:r w:rsidRPr="00A322E9">
              <w:rPr>
                <w:i/>
                <w:sz w:val="20"/>
                <w:szCs w:val="20"/>
              </w:rPr>
              <w:t>(za izvajanje pravic posameznika)</w:t>
            </w:r>
          </w:p>
        </w:tc>
        <w:tc>
          <w:tcPr>
            <w:tcW w:w="4395" w:type="dxa"/>
            <w:vAlign w:val="center"/>
          </w:tcPr>
          <w:p w14:paraId="126612B4" w14:textId="373023A0" w:rsidR="00A322E9" w:rsidRDefault="00000000" w:rsidP="008318EA">
            <w:pPr>
              <w:rPr>
                <w:b/>
              </w:rPr>
            </w:pPr>
            <w:hyperlink r:id="rId11" w:history="1">
              <w:r w:rsidR="00A322E9" w:rsidRPr="00A26942">
                <w:rPr>
                  <w:rStyle w:val="Hiperpovezava"/>
                  <w:b/>
                </w:rPr>
                <w:t>fkbv@um.si</w:t>
              </w:r>
            </w:hyperlink>
          </w:p>
        </w:tc>
      </w:tr>
      <w:tr w:rsidR="00A322E9" w14:paraId="3D6832D0" w14:textId="77777777" w:rsidTr="00053D9D">
        <w:tc>
          <w:tcPr>
            <w:tcW w:w="3118" w:type="dxa"/>
          </w:tcPr>
          <w:p w14:paraId="533E75E5" w14:textId="1C0D2966" w:rsidR="00A322E9" w:rsidRPr="00A322E9" w:rsidRDefault="00A322E9" w:rsidP="008318EA">
            <w:r w:rsidRPr="00A322E9">
              <w:t>Kontaktna telefonska številka upravljavca</w:t>
            </w:r>
          </w:p>
        </w:tc>
        <w:tc>
          <w:tcPr>
            <w:tcW w:w="4395" w:type="dxa"/>
            <w:vAlign w:val="center"/>
          </w:tcPr>
          <w:p w14:paraId="1E3DA178" w14:textId="309D578D" w:rsidR="00A322E9" w:rsidRDefault="00A322E9" w:rsidP="008318EA">
            <w:pPr>
              <w:rPr>
                <w:b/>
              </w:rPr>
            </w:pPr>
            <w:r>
              <w:rPr>
                <w:b/>
              </w:rPr>
              <w:t>+386 2 320 90 00</w:t>
            </w:r>
          </w:p>
        </w:tc>
      </w:tr>
    </w:tbl>
    <w:p w14:paraId="3125A796" w14:textId="673C9F2E" w:rsidR="00A17EA6" w:rsidRDefault="00A17EA6" w:rsidP="008318EA">
      <w:pPr>
        <w:rPr>
          <w:b/>
        </w:rPr>
      </w:pPr>
    </w:p>
    <w:p w14:paraId="1BB38CB8" w14:textId="5606A712" w:rsidR="00A322E9" w:rsidRPr="00A17EA6" w:rsidRDefault="00A322E9" w:rsidP="008318EA">
      <w:pPr>
        <w:rPr>
          <w:b/>
        </w:rPr>
      </w:pPr>
      <w:r>
        <w:rPr>
          <w:b/>
        </w:rPr>
        <w:t xml:space="preserve">ki ima imenovano pooblačeno osebo za varstvo osebnih </w:t>
      </w:r>
      <w:r w:rsidRPr="00A322E9">
        <w:rPr>
          <w:b/>
        </w:rPr>
        <w:t>podatkov (DPO</w:t>
      </w:r>
      <w:r w:rsidR="00E61A56">
        <w:rPr>
          <w:b/>
        </w:rPr>
        <w:t xml:space="preserve"> – Data </w:t>
      </w:r>
      <w:proofErr w:type="spellStart"/>
      <w:r w:rsidR="00E61A56">
        <w:rPr>
          <w:b/>
        </w:rPr>
        <w:t>Protection</w:t>
      </w:r>
      <w:proofErr w:type="spellEnd"/>
      <w:r w:rsidR="00E61A56">
        <w:rPr>
          <w:b/>
        </w:rPr>
        <w:t xml:space="preserve"> </w:t>
      </w:r>
      <w:proofErr w:type="spellStart"/>
      <w:r w:rsidR="00E61A56">
        <w:rPr>
          <w:b/>
        </w:rPr>
        <w:t>Officer</w:t>
      </w:r>
      <w:proofErr w:type="spellEnd"/>
      <w:r w:rsidR="00E61A56">
        <w:rPr>
          <w:b/>
        </w:rPr>
        <w:t>)</w:t>
      </w:r>
      <w:r w:rsidR="00A46A19">
        <w:rPr>
          <w:b/>
        </w:rPr>
        <w:t>:</w:t>
      </w:r>
    </w:p>
    <w:tbl>
      <w:tblPr>
        <w:tblStyle w:val="Tabelamrea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395"/>
      </w:tblGrid>
      <w:tr w:rsidR="00A322E9" w:rsidRPr="00A322E9" w14:paraId="5DC1E0CC" w14:textId="77777777" w:rsidTr="0095338B">
        <w:tc>
          <w:tcPr>
            <w:tcW w:w="7513" w:type="dxa"/>
            <w:gridSpan w:val="2"/>
            <w:shd w:val="clear" w:color="auto" w:fill="DBE5F1" w:themeFill="accent1" w:themeFillTint="33"/>
          </w:tcPr>
          <w:p w14:paraId="1B09B06C" w14:textId="21D6CBD7" w:rsidR="00A322E9" w:rsidRPr="00A322E9" w:rsidRDefault="00A322E9" w:rsidP="00E65A77">
            <w:pPr>
              <w:rPr>
                <w:i/>
              </w:rPr>
            </w:pPr>
            <w:r>
              <w:rPr>
                <w:i/>
              </w:rPr>
              <w:t>K</w:t>
            </w:r>
            <w:r w:rsidRPr="00A322E9">
              <w:rPr>
                <w:i/>
              </w:rPr>
              <w:t xml:space="preserve">ontaktni podatki </w:t>
            </w:r>
            <w:r>
              <w:rPr>
                <w:i/>
              </w:rPr>
              <w:t>pooblaščene osebe za varstvo osebnih podatkov</w:t>
            </w:r>
          </w:p>
        </w:tc>
      </w:tr>
      <w:tr w:rsidR="00A322E9" w14:paraId="47399887" w14:textId="77777777" w:rsidTr="00A46A19">
        <w:tc>
          <w:tcPr>
            <w:tcW w:w="3118" w:type="dxa"/>
          </w:tcPr>
          <w:p w14:paraId="71D9C979" w14:textId="3C0E1DD6" w:rsidR="00A322E9" w:rsidRPr="00A322E9" w:rsidRDefault="00E61A56" w:rsidP="00E65A77">
            <w:r>
              <w:t>Naziv DPO</w:t>
            </w:r>
          </w:p>
        </w:tc>
        <w:tc>
          <w:tcPr>
            <w:tcW w:w="4395" w:type="dxa"/>
          </w:tcPr>
          <w:p w14:paraId="37A16F5A" w14:textId="5D9A7235" w:rsidR="00A322E9" w:rsidRPr="00E61A56" w:rsidRDefault="00E61A56" w:rsidP="00E61A56">
            <w:pPr>
              <w:spacing w:after="0"/>
              <w:rPr>
                <w:b/>
              </w:rPr>
            </w:pPr>
            <w:r>
              <w:rPr>
                <w:b/>
              </w:rPr>
              <w:t>izredni profesor dr. Miha Dvojmoč</w:t>
            </w:r>
          </w:p>
        </w:tc>
      </w:tr>
      <w:tr w:rsidR="00A322E9" w14:paraId="27087F79" w14:textId="77777777" w:rsidTr="00A46A19">
        <w:tc>
          <w:tcPr>
            <w:tcW w:w="3118" w:type="dxa"/>
          </w:tcPr>
          <w:p w14:paraId="77AF3113" w14:textId="62497010" w:rsidR="00A322E9" w:rsidRPr="00A322E9" w:rsidRDefault="00A322E9" w:rsidP="00E61A56">
            <w:pPr>
              <w:rPr>
                <w:i/>
                <w:sz w:val="20"/>
                <w:szCs w:val="20"/>
              </w:rPr>
            </w:pPr>
            <w:r w:rsidRPr="00A322E9">
              <w:t xml:space="preserve">Kontaktni e-naslov </w:t>
            </w:r>
            <w:r w:rsidR="00E61A56">
              <w:t>DPO</w:t>
            </w:r>
          </w:p>
        </w:tc>
        <w:tc>
          <w:tcPr>
            <w:tcW w:w="4395" w:type="dxa"/>
          </w:tcPr>
          <w:p w14:paraId="16FA9A92" w14:textId="6AFC76E0" w:rsidR="00A322E9" w:rsidRDefault="00E61A56" w:rsidP="00E65A77">
            <w:pPr>
              <w:rPr>
                <w:b/>
              </w:rPr>
            </w:pPr>
            <w:r>
              <w:rPr>
                <w:b/>
              </w:rPr>
              <w:t>dpo@um.si</w:t>
            </w:r>
          </w:p>
        </w:tc>
      </w:tr>
    </w:tbl>
    <w:p w14:paraId="0B051DCE" w14:textId="77777777" w:rsidR="008318EA" w:rsidRPr="008318EA" w:rsidRDefault="008318EA" w:rsidP="008318EA"/>
    <w:p w14:paraId="5E5513E4" w14:textId="091B6ABC" w:rsidR="008318EA" w:rsidRDefault="00E61A56" w:rsidP="00B163DA">
      <w:pPr>
        <w:jc w:val="both"/>
        <w:rPr>
          <w:b/>
        </w:rPr>
      </w:pPr>
      <w:r w:rsidRPr="0095338B">
        <w:rPr>
          <w:b/>
        </w:rPr>
        <w:t xml:space="preserve">osebne podatke obdeluje in varuje v skladu z Zakonom o varstvu osebnih podatkov in </w:t>
      </w:r>
      <w:r w:rsidR="00B163DA" w:rsidRPr="0095338B">
        <w:rPr>
          <w:b/>
        </w:rPr>
        <w:t>Splošno uredbo o varstvu osebnih podatkov.</w:t>
      </w:r>
    </w:p>
    <w:p w14:paraId="24774D34" w14:textId="77777777" w:rsidR="00FA2D85" w:rsidRDefault="00FA2D85" w:rsidP="00B163DA">
      <w:pPr>
        <w:jc w:val="both"/>
      </w:pPr>
    </w:p>
    <w:p w14:paraId="2807CDDB" w14:textId="3648DDF2" w:rsidR="00B163DA" w:rsidRDefault="00B163DA" w:rsidP="00B163DA">
      <w:pPr>
        <w:jc w:val="both"/>
      </w:pPr>
      <w:r>
        <w:t xml:space="preserve">Več o obdelavi osebnih podatkov na Univerzi v Mariboru lahko preberete na naslednji spletni strani: </w:t>
      </w:r>
      <w:hyperlink r:id="rId12" w:history="1">
        <w:r w:rsidR="00B87726">
          <w:rPr>
            <w:rStyle w:val="Hiperpovezava"/>
          </w:rPr>
          <w:t>Varstvo osebnih podatkov - UM.si</w:t>
        </w:r>
      </w:hyperlink>
      <w:r>
        <w:t xml:space="preserve">, za dodatne informacije pa se lahko obrnete tudi na </w:t>
      </w:r>
      <w:r w:rsidR="0095338B">
        <w:t xml:space="preserve">kontaktni e-naslov upravljavca </w:t>
      </w:r>
      <w:hyperlink r:id="rId13" w:history="1">
        <w:r w:rsidR="0095338B" w:rsidRPr="00A26942">
          <w:rPr>
            <w:rStyle w:val="Hiperpovezava"/>
          </w:rPr>
          <w:t>fkbv@um.si</w:t>
        </w:r>
      </w:hyperlink>
      <w:r w:rsidR="0095338B">
        <w:t xml:space="preserve"> oz. na </w:t>
      </w:r>
      <w:r>
        <w:t>pooblaščeno osebo za varstvo podatkov Univerze v M</w:t>
      </w:r>
      <w:r w:rsidR="0095338B">
        <w:t>ariboru</w:t>
      </w:r>
      <w:r>
        <w:t>.</w:t>
      </w:r>
    </w:p>
    <w:tbl>
      <w:tblPr>
        <w:tblStyle w:val="Tabelamre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5B7545" w:rsidRPr="00A322E9" w14:paraId="0EA60932" w14:textId="77777777" w:rsidTr="005B7545">
        <w:tc>
          <w:tcPr>
            <w:tcW w:w="9214" w:type="dxa"/>
            <w:shd w:val="clear" w:color="auto" w:fill="DBE5F1" w:themeFill="accent1" w:themeFillTint="33"/>
          </w:tcPr>
          <w:p w14:paraId="73B92E1F" w14:textId="77777777" w:rsidR="00F9559A" w:rsidRPr="00F9559A" w:rsidRDefault="00F9559A" w:rsidP="005B7545">
            <w:pPr>
              <w:rPr>
                <w:b/>
                <w:i/>
              </w:rPr>
            </w:pPr>
          </w:p>
          <w:p w14:paraId="51EC9257" w14:textId="77777777" w:rsidR="005B7545" w:rsidRPr="0030546F" w:rsidRDefault="005B7545" w:rsidP="00F9559A">
            <w:pPr>
              <w:spacing w:after="0"/>
              <w:rPr>
                <w:i/>
              </w:rPr>
            </w:pPr>
            <w:r w:rsidRPr="0030546F">
              <w:rPr>
                <w:i/>
              </w:rPr>
              <w:t>Nameni, za katere se osebni podatki obdelujejo</w:t>
            </w:r>
          </w:p>
          <w:p w14:paraId="5CD91275" w14:textId="7D12B667" w:rsidR="00F9559A" w:rsidRPr="00A322E9" w:rsidRDefault="00F9559A" w:rsidP="005B7545">
            <w:pPr>
              <w:rPr>
                <w:i/>
              </w:rPr>
            </w:pPr>
          </w:p>
        </w:tc>
      </w:tr>
      <w:tr w:rsidR="005B7545" w14:paraId="225C3763" w14:textId="77777777" w:rsidTr="005B7545">
        <w:trPr>
          <w:trHeight w:val="787"/>
        </w:trPr>
        <w:tc>
          <w:tcPr>
            <w:tcW w:w="9214" w:type="dxa"/>
          </w:tcPr>
          <w:p w14:paraId="2A086CF4" w14:textId="77777777" w:rsidR="005B7545" w:rsidRDefault="005B7545" w:rsidP="00F65413"/>
          <w:p w14:paraId="6A5F7ABD" w14:textId="24B726EB" w:rsidR="005B7545" w:rsidRPr="005B7545" w:rsidRDefault="005B7545" w:rsidP="00F65413">
            <w:r w:rsidRPr="005B7545">
              <w:t>Videona</w:t>
            </w:r>
            <w:r w:rsidR="00F47F5F">
              <w:t>d</w:t>
            </w:r>
            <w:r w:rsidRPr="005B7545">
              <w:t>zor se izvaja skladno z ZVOP-2, in sicer po:</w:t>
            </w:r>
          </w:p>
          <w:p w14:paraId="7B0A088A" w14:textId="77777777" w:rsidR="005B7545" w:rsidRPr="005B7545" w:rsidRDefault="005B7545" w:rsidP="00472597">
            <w:pPr>
              <w:pStyle w:val="Odstavekseznama"/>
              <w:numPr>
                <w:ilvl w:val="0"/>
                <w:numId w:val="4"/>
              </w:numPr>
              <w:ind w:left="714" w:hanging="357"/>
              <w:rPr>
                <w:b/>
              </w:rPr>
            </w:pPr>
            <w:r w:rsidRPr="005B7545">
              <w:rPr>
                <w:b/>
              </w:rPr>
              <w:t>76. členu – splošne določbe o videonadzoru in varstvu osebnih podatkov</w:t>
            </w:r>
          </w:p>
          <w:p w14:paraId="1B81818B" w14:textId="77777777" w:rsidR="00472597" w:rsidRDefault="00472597" w:rsidP="00472597">
            <w:pPr>
              <w:spacing w:after="0"/>
              <w:ind w:left="739"/>
            </w:pPr>
          </w:p>
          <w:p w14:paraId="549F100C" w14:textId="5596B17E" w:rsidR="005B7545" w:rsidRDefault="00472597" w:rsidP="00472597">
            <w:pPr>
              <w:spacing w:after="0"/>
              <w:ind w:left="739"/>
            </w:pPr>
            <w:r>
              <w:t>i</w:t>
            </w:r>
            <w:r w:rsidR="005B7545" w:rsidRPr="005B7545">
              <w:t>n</w:t>
            </w:r>
          </w:p>
          <w:p w14:paraId="148DF105" w14:textId="77777777" w:rsidR="00472597" w:rsidRPr="005B7545" w:rsidRDefault="00472597" w:rsidP="00472597">
            <w:pPr>
              <w:spacing w:after="0"/>
              <w:ind w:left="739"/>
            </w:pPr>
          </w:p>
          <w:p w14:paraId="2379F6F4" w14:textId="2CCD340F" w:rsidR="005B7545" w:rsidRPr="005B7545" w:rsidRDefault="005B7545" w:rsidP="005B7545">
            <w:pPr>
              <w:pStyle w:val="Odstavekseznama"/>
              <w:numPr>
                <w:ilvl w:val="0"/>
                <w:numId w:val="4"/>
              </w:numPr>
              <w:rPr>
                <w:b/>
              </w:rPr>
            </w:pPr>
            <w:r w:rsidRPr="005B7545">
              <w:rPr>
                <w:b/>
              </w:rPr>
              <w:t>77. členu – videona</w:t>
            </w:r>
            <w:r>
              <w:rPr>
                <w:b/>
              </w:rPr>
              <w:t>d</w:t>
            </w:r>
            <w:r w:rsidRPr="005B7545">
              <w:rPr>
                <w:b/>
              </w:rPr>
              <w:t>zor dostopa v uradne službene oziroma poslovne prostore/območja</w:t>
            </w:r>
            <w:r>
              <w:rPr>
                <w:b/>
              </w:rPr>
              <w:t>:</w:t>
            </w:r>
          </w:p>
          <w:p w14:paraId="58659A14" w14:textId="101A506F" w:rsidR="005B7545" w:rsidRPr="005B7545" w:rsidRDefault="005B7545" w:rsidP="005B7545">
            <w:pPr>
              <w:pStyle w:val="Odstavekseznama"/>
              <w:numPr>
                <w:ilvl w:val="0"/>
                <w:numId w:val="5"/>
              </w:numPr>
              <w:ind w:left="1164"/>
            </w:pPr>
            <w:r w:rsidRPr="005B7545">
              <w:t>zaradi varnosti ljudi ali premoženja</w:t>
            </w:r>
          </w:p>
          <w:p w14:paraId="7AC692E8" w14:textId="02A2B764" w:rsidR="005B7545" w:rsidRPr="005B7545" w:rsidRDefault="005B7545" w:rsidP="005B7545">
            <w:pPr>
              <w:pStyle w:val="Odstavekseznama"/>
              <w:numPr>
                <w:ilvl w:val="0"/>
                <w:numId w:val="5"/>
              </w:numPr>
              <w:ind w:left="1164"/>
            </w:pPr>
            <w:r w:rsidRPr="005B7545">
              <w:t>zaradi zagotavljanja nadzora vstopa v te prostore/območja ali izstopa iz njih</w:t>
            </w:r>
          </w:p>
          <w:p w14:paraId="6DB25EF3" w14:textId="1A9511F0" w:rsidR="005B7545" w:rsidRDefault="005B7545" w:rsidP="005B7545">
            <w:pPr>
              <w:pStyle w:val="Odstavekseznama"/>
              <w:numPr>
                <w:ilvl w:val="0"/>
                <w:numId w:val="5"/>
              </w:numPr>
              <w:ind w:left="1164"/>
            </w:pPr>
            <w:r w:rsidRPr="005B7545">
              <w:t>zaradi narave dela obstaja možnost ogrožanja zaposlenih</w:t>
            </w:r>
          </w:p>
          <w:p w14:paraId="63DDE9B8" w14:textId="77777777" w:rsidR="005B7545" w:rsidRPr="005B7545" w:rsidRDefault="005B7545" w:rsidP="005B7545">
            <w:pPr>
              <w:pStyle w:val="Odstavekseznama"/>
              <w:ind w:left="1164"/>
            </w:pPr>
          </w:p>
          <w:p w14:paraId="5CEB8845" w14:textId="76AC81F2" w:rsidR="005B7545" w:rsidRPr="005B7545" w:rsidRDefault="005B7545" w:rsidP="005B7545">
            <w:pPr>
              <w:pStyle w:val="Odstavekseznama"/>
              <w:numPr>
                <w:ilvl w:val="0"/>
                <w:numId w:val="4"/>
              </w:numPr>
              <w:rPr>
                <w:b/>
              </w:rPr>
            </w:pPr>
            <w:r w:rsidRPr="005B7545">
              <w:rPr>
                <w:b/>
              </w:rPr>
              <w:t>78. členu – videonadzor znotraj delovnih prostorov</w:t>
            </w:r>
          </w:p>
          <w:p w14:paraId="530214D4" w14:textId="1E68540C" w:rsidR="005B7545" w:rsidRPr="005B7545" w:rsidRDefault="005B7545" w:rsidP="005B7545">
            <w:pPr>
              <w:pStyle w:val="Odstavekseznama"/>
              <w:numPr>
                <w:ilvl w:val="0"/>
                <w:numId w:val="5"/>
              </w:numPr>
              <w:ind w:left="1164"/>
            </w:pPr>
            <w:r w:rsidRPr="005B7545">
              <w:t>ker je nujno potrebno za varnost ljudi ali premoženja in teh namenov ni mogoče doseči z milejšimi sredstvi.</w:t>
            </w:r>
          </w:p>
          <w:p w14:paraId="3B2555E0" w14:textId="03E9C617" w:rsidR="0030546F" w:rsidRPr="0030546F" w:rsidRDefault="0030546F" w:rsidP="0030546F">
            <w:pPr>
              <w:pStyle w:val="Odstavekseznama"/>
              <w:rPr>
                <w:b/>
              </w:rPr>
            </w:pPr>
          </w:p>
        </w:tc>
      </w:tr>
    </w:tbl>
    <w:p w14:paraId="22055933" w14:textId="385DEAFB" w:rsidR="005B7545" w:rsidRDefault="005B7545" w:rsidP="00B163DA">
      <w:pPr>
        <w:jc w:val="both"/>
      </w:pPr>
    </w:p>
    <w:tbl>
      <w:tblPr>
        <w:tblStyle w:val="Tabelamre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30546F" w:rsidRPr="00D13026" w14:paraId="5D01F64C" w14:textId="77777777" w:rsidTr="00AD61AB">
        <w:tc>
          <w:tcPr>
            <w:tcW w:w="9214" w:type="dxa"/>
            <w:shd w:val="clear" w:color="auto" w:fill="DBE5F1" w:themeFill="accent1" w:themeFillTint="33"/>
          </w:tcPr>
          <w:p w14:paraId="0AF0FA07" w14:textId="77777777" w:rsidR="00D13026" w:rsidRDefault="00D13026" w:rsidP="00D13026">
            <w:pPr>
              <w:spacing w:after="0"/>
              <w:rPr>
                <w:i/>
              </w:rPr>
            </w:pPr>
          </w:p>
          <w:p w14:paraId="6AD9D239" w14:textId="77777777" w:rsidR="0030546F" w:rsidRDefault="0030546F" w:rsidP="00D13026">
            <w:pPr>
              <w:spacing w:after="0"/>
              <w:rPr>
                <w:i/>
              </w:rPr>
            </w:pPr>
            <w:r w:rsidRPr="00D13026">
              <w:rPr>
                <w:i/>
              </w:rPr>
              <w:t>Dodatne informacije v zvezi s 3. in 5. točko 4. odstavka 76. člena ZVOP-2:</w:t>
            </w:r>
          </w:p>
          <w:p w14:paraId="7DAFD16B" w14:textId="5B97D52C" w:rsidR="00D13026" w:rsidRPr="00D13026" w:rsidRDefault="00D13026" w:rsidP="00D13026">
            <w:pPr>
              <w:spacing w:after="0"/>
              <w:rPr>
                <w:i/>
              </w:rPr>
            </w:pPr>
          </w:p>
        </w:tc>
      </w:tr>
      <w:tr w:rsidR="0030546F" w14:paraId="5BF5B17B" w14:textId="77777777" w:rsidTr="00AD61AB">
        <w:trPr>
          <w:trHeight w:val="787"/>
        </w:trPr>
        <w:tc>
          <w:tcPr>
            <w:tcW w:w="9214" w:type="dxa"/>
          </w:tcPr>
          <w:p w14:paraId="598242F9" w14:textId="77777777" w:rsidR="0030546F" w:rsidRPr="0030546F" w:rsidRDefault="0030546F" w:rsidP="00AD61AB"/>
          <w:p w14:paraId="2EC5B05E" w14:textId="77777777" w:rsidR="0030546F" w:rsidRDefault="0030546F" w:rsidP="0030546F">
            <w:pPr>
              <w:pStyle w:val="Odstavekseznama"/>
              <w:numPr>
                <w:ilvl w:val="0"/>
                <w:numId w:val="7"/>
              </w:numPr>
            </w:pPr>
            <w:r w:rsidRPr="0030546F">
              <w:t xml:space="preserve">informacije o posebnih vplivih obdelave, zlasti nadaljnje obdelave (3. točka 4. odstavka 76. člena): </w:t>
            </w:r>
          </w:p>
          <w:p w14:paraId="22C338C9" w14:textId="15D1DADB" w:rsidR="0030546F" w:rsidRPr="0030546F" w:rsidRDefault="0030546F" w:rsidP="0030546F">
            <w:pPr>
              <w:pStyle w:val="Odstavekseznama"/>
              <w:numPr>
                <w:ilvl w:val="0"/>
                <w:numId w:val="8"/>
              </w:numPr>
              <w:ind w:left="1448"/>
            </w:pPr>
            <w:r w:rsidRPr="0030546F">
              <w:t>ni posebnih vplivov</w:t>
            </w:r>
          </w:p>
          <w:p w14:paraId="05B1CD5A" w14:textId="77777777" w:rsidR="0030546F" w:rsidRPr="0030546F" w:rsidRDefault="0030546F" w:rsidP="0030546F">
            <w:pPr>
              <w:pStyle w:val="Odstavekseznama"/>
            </w:pPr>
          </w:p>
          <w:p w14:paraId="3666459F" w14:textId="69B30F67" w:rsidR="0030546F" w:rsidRPr="0030546F" w:rsidRDefault="0030546F" w:rsidP="0030546F">
            <w:pPr>
              <w:pStyle w:val="Odstavekseznama"/>
              <w:numPr>
                <w:ilvl w:val="0"/>
                <w:numId w:val="7"/>
              </w:numPr>
            </w:pPr>
            <w:r w:rsidRPr="0030546F">
              <w:t>neobičajne nadaljnje obdelave, kot so prenosi subjektom v tretje države, spremljanje dogajanja v živo, možnost zvočne intervencije v primeru spremljanja dogajanja v živo (5. točka 4. odstavka 76. člena):</w:t>
            </w:r>
          </w:p>
          <w:p w14:paraId="0C89ACFF" w14:textId="77777777" w:rsidR="0030546F" w:rsidRPr="0030546F" w:rsidRDefault="0030546F" w:rsidP="0030546F">
            <w:pPr>
              <w:pStyle w:val="Odstavekseznama"/>
              <w:numPr>
                <w:ilvl w:val="1"/>
                <w:numId w:val="7"/>
              </w:numPr>
            </w:pPr>
            <w:r w:rsidRPr="0030546F">
              <w:t>ne izvajamo neobičajnih nadaljnjih obdelav</w:t>
            </w:r>
          </w:p>
          <w:p w14:paraId="18BE6A03" w14:textId="77777777" w:rsidR="0030546F" w:rsidRPr="0030546F" w:rsidRDefault="0030546F" w:rsidP="00AD61AB">
            <w:pPr>
              <w:ind w:left="360"/>
              <w:rPr>
                <w:b/>
              </w:rPr>
            </w:pPr>
          </w:p>
        </w:tc>
      </w:tr>
    </w:tbl>
    <w:p w14:paraId="5D758AF8" w14:textId="77777777" w:rsidR="009B69CC" w:rsidRDefault="009B69CC" w:rsidP="00B163DA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83"/>
        <w:gridCol w:w="1450"/>
        <w:gridCol w:w="1232"/>
        <w:gridCol w:w="1248"/>
        <w:gridCol w:w="3049"/>
      </w:tblGrid>
      <w:tr w:rsidR="009B69CC" w14:paraId="558A3288" w14:textId="77777777" w:rsidTr="009B69CC">
        <w:tc>
          <w:tcPr>
            <w:tcW w:w="9062" w:type="dxa"/>
            <w:gridSpan w:val="5"/>
            <w:shd w:val="clear" w:color="auto" w:fill="DBE5F1" w:themeFill="accent1" w:themeFillTint="33"/>
          </w:tcPr>
          <w:p w14:paraId="7A95D613" w14:textId="77777777" w:rsidR="009B69CC" w:rsidRDefault="009B69CC" w:rsidP="009B69CC">
            <w:pPr>
              <w:spacing w:after="0"/>
            </w:pPr>
          </w:p>
          <w:p w14:paraId="5CC37C78" w14:textId="1E854ADE" w:rsidR="009B69CC" w:rsidRPr="009B69CC" w:rsidRDefault="009B69CC" w:rsidP="009B69CC">
            <w:pPr>
              <w:spacing w:after="0"/>
              <w:rPr>
                <w:i/>
              </w:rPr>
            </w:pPr>
            <w:r w:rsidRPr="009B69CC">
              <w:rPr>
                <w:i/>
              </w:rPr>
              <w:t>Vrste zadevnih osebnih podatkov</w:t>
            </w:r>
          </w:p>
          <w:p w14:paraId="75017FA1" w14:textId="1F53612B" w:rsidR="009B69CC" w:rsidRDefault="009B69CC" w:rsidP="009B69CC">
            <w:pPr>
              <w:spacing w:after="0"/>
            </w:pPr>
          </w:p>
        </w:tc>
      </w:tr>
      <w:tr w:rsidR="009B69CC" w:rsidRPr="009B69CC" w14:paraId="0B8516FA" w14:textId="77777777" w:rsidTr="009B69CC">
        <w:tc>
          <w:tcPr>
            <w:tcW w:w="2083" w:type="dxa"/>
          </w:tcPr>
          <w:p w14:paraId="31C16CBD" w14:textId="76DD4AD3" w:rsidR="009B69CC" w:rsidRPr="009B69CC" w:rsidRDefault="009B69CC" w:rsidP="009B69CC">
            <w:pPr>
              <w:rPr>
                <w:b/>
              </w:rPr>
            </w:pPr>
            <w:r w:rsidRPr="009B69CC">
              <w:rPr>
                <w:b/>
              </w:rPr>
              <w:t>Osebni podatek:</w:t>
            </w:r>
          </w:p>
        </w:tc>
        <w:tc>
          <w:tcPr>
            <w:tcW w:w="1450" w:type="dxa"/>
          </w:tcPr>
          <w:p w14:paraId="647566A0" w14:textId="7E63542C" w:rsidR="009B69CC" w:rsidRPr="009B69CC" w:rsidRDefault="009B69CC" w:rsidP="009B69CC">
            <w:pPr>
              <w:rPr>
                <w:b/>
              </w:rPr>
            </w:pPr>
            <w:r w:rsidRPr="009B69CC">
              <w:rPr>
                <w:b/>
              </w:rPr>
              <w:t>Vir:</w:t>
            </w:r>
          </w:p>
        </w:tc>
        <w:tc>
          <w:tcPr>
            <w:tcW w:w="1232" w:type="dxa"/>
          </w:tcPr>
          <w:p w14:paraId="06EEEB69" w14:textId="43B5711D" w:rsidR="009B69CC" w:rsidRPr="009B69CC" w:rsidRDefault="009B69CC" w:rsidP="009B69CC">
            <w:pPr>
              <w:rPr>
                <w:b/>
              </w:rPr>
            </w:pPr>
            <w:r w:rsidRPr="009B69CC">
              <w:rPr>
                <w:b/>
              </w:rPr>
              <w:t>Zakonska obveznost:</w:t>
            </w:r>
          </w:p>
        </w:tc>
        <w:tc>
          <w:tcPr>
            <w:tcW w:w="1248" w:type="dxa"/>
          </w:tcPr>
          <w:p w14:paraId="16C9C21C" w14:textId="468488C2" w:rsidR="009B69CC" w:rsidRPr="009B69CC" w:rsidRDefault="009B69CC" w:rsidP="009B69CC">
            <w:pPr>
              <w:rPr>
                <w:b/>
              </w:rPr>
            </w:pPr>
            <w:r w:rsidRPr="009B69CC">
              <w:rPr>
                <w:b/>
              </w:rPr>
              <w:t>Pogodbena obveznost:</w:t>
            </w:r>
          </w:p>
        </w:tc>
        <w:tc>
          <w:tcPr>
            <w:tcW w:w="3049" w:type="dxa"/>
          </w:tcPr>
          <w:p w14:paraId="55287108" w14:textId="568B2F6F" w:rsidR="009B69CC" w:rsidRPr="009B69CC" w:rsidRDefault="009B69CC" w:rsidP="009B69CC">
            <w:pPr>
              <w:rPr>
                <w:b/>
              </w:rPr>
            </w:pPr>
            <w:r w:rsidRPr="009B69CC">
              <w:rPr>
                <w:b/>
              </w:rPr>
              <w:t>Posledice, če posameznik ne zagotovi osebnih podatkov:</w:t>
            </w:r>
          </w:p>
        </w:tc>
      </w:tr>
      <w:tr w:rsidR="009B69CC" w14:paraId="66DA893E" w14:textId="77777777" w:rsidTr="009B69CC">
        <w:tc>
          <w:tcPr>
            <w:tcW w:w="2083" w:type="dxa"/>
          </w:tcPr>
          <w:p w14:paraId="18A7063C" w14:textId="3C3AE151" w:rsidR="009B69CC" w:rsidRDefault="009B69CC" w:rsidP="009B69CC">
            <w:r>
              <w:t>Posnetek posameznika (slika), podatek o lokaciji, datum in čas posnetka</w:t>
            </w:r>
          </w:p>
        </w:tc>
        <w:tc>
          <w:tcPr>
            <w:tcW w:w="1450" w:type="dxa"/>
          </w:tcPr>
          <w:p w14:paraId="5AA6F7EC" w14:textId="293D860D" w:rsidR="009B69CC" w:rsidRDefault="009B69CC" w:rsidP="00B163DA">
            <w:pPr>
              <w:jc w:val="both"/>
            </w:pPr>
            <w:r>
              <w:t>Posameznik</w:t>
            </w:r>
          </w:p>
        </w:tc>
        <w:tc>
          <w:tcPr>
            <w:tcW w:w="1232" w:type="dxa"/>
          </w:tcPr>
          <w:p w14:paraId="5282078D" w14:textId="5EBFD108" w:rsidR="009B69CC" w:rsidRDefault="009B69CC" w:rsidP="00B163DA">
            <w:pPr>
              <w:jc w:val="both"/>
            </w:pPr>
            <w:r>
              <w:t>Ne</w:t>
            </w:r>
          </w:p>
        </w:tc>
        <w:tc>
          <w:tcPr>
            <w:tcW w:w="1248" w:type="dxa"/>
          </w:tcPr>
          <w:p w14:paraId="61689EDC" w14:textId="2A69B2BB" w:rsidR="009B69CC" w:rsidRDefault="009B69CC" w:rsidP="00B163DA">
            <w:pPr>
              <w:jc w:val="both"/>
            </w:pPr>
            <w:r>
              <w:t>Ne</w:t>
            </w:r>
          </w:p>
        </w:tc>
        <w:tc>
          <w:tcPr>
            <w:tcW w:w="3049" w:type="dxa"/>
          </w:tcPr>
          <w:p w14:paraId="05A35AAE" w14:textId="67738E3D" w:rsidR="009B69CC" w:rsidRDefault="009B69CC" w:rsidP="009B69CC">
            <w:r>
              <w:t>Posameznik ne more vstopiti v prostore/območje, kjer se izvaja videonadzor.</w:t>
            </w:r>
          </w:p>
        </w:tc>
      </w:tr>
    </w:tbl>
    <w:p w14:paraId="3A284AFB" w14:textId="77777777" w:rsidR="009B69CC" w:rsidRPr="008318EA" w:rsidRDefault="009B69CC" w:rsidP="00B163DA">
      <w:pPr>
        <w:jc w:val="both"/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53D9D" w:rsidRPr="00A322E9" w14:paraId="490DBC24" w14:textId="77777777" w:rsidTr="00FA2D85">
        <w:trPr>
          <w:trHeight w:val="789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14:paraId="513067DF" w14:textId="1D10F583" w:rsidR="00053D9D" w:rsidRPr="003925B2" w:rsidRDefault="00053D9D" w:rsidP="00053D9D">
            <w:pPr>
              <w:spacing w:after="0"/>
              <w:rPr>
                <w:i/>
              </w:rPr>
            </w:pPr>
            <w:r w:rsidRPr="003925B2">
              <w:rPr>
                <w:i/>
              </w:rPr>
              <w:lastRenderedPageBreak/>
              <w:t>Obdobje hrambe osebnih podatkov</w:t>
            </w:r>
          </w:p>
        </w:tc>
      </w:tr>
      <w:tr w:rsidR="00053D9D" w14:paraId="33A7A997" w14:textId="77777777" w:rsidTr="00FA2D85">
        <w:trPr>
          <w:trHeight w:val="787"/>
        </w:trPr>
        <w:tc>
          <w:tcPr>
            <w:tcW w:w="9072" w:type="dxa"/>
            <w:vAlign w:val="center"/>
          </w:tcPr>
          <w:p w14:paraId="26E82A33" w14:textId="26E08970" w:rsidR="00053D9D" w:rsidRPr="003925B2" w:rsidRDefault="00053D9D" w:rsidP="003925B2">
            <w:pPr>
              <w:rPr>
                <w:b/>
              </w:rPr>
            </w:pPr>
            <w:r w:rsidRPr="003925B2">
              <w:t xml:space="preserve">Posnetki videonadzora se hranijo </w:t>
            </w:r>
            <w:r w:rsidR="003925B2" w:rsidRPr="003925B2">
              <w:t xml:space="preserve">največ </w:t>
            </w:r>
            <w:r w:rsidRPr="003925B2">
              <w:t>1 leto.</w:t>
            </w:r>
            <w:r w:rsidRPr="003925B2">
              <w:rPr>
                <w:b/>
              </w:rPr>
              <w:t xml:space="preserve"> </w:t>
            </w:r>
          </w:p>
        </w:tc>
      </w:tr>
    </w:tbl>
    <w:p w14:paraId="279A4017" w14:textId="77777777" w:rsidR="008318EA" w:rsidRPr="008318EA" w:rsidRDefault="008318EA" w:rsidP="008318EA"/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53D9D" w:rsidRPr="00A322E9" w14:paraId="1D3CE8EF" w14:textId="77777777" w:rsidTr="00FA2D85">
        <w:trPr>
          <w:trHeight w:val="789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14:paraId="44BCE228" w14:textId="66F28C4B" w:rsidR="00053D9D" w:rsidRPr="00A322E9" w:rsidRDefault="00053D9D" w:rsidP="003F59F1">
            <w:pPr>
              <w:spacing w:after="0"/>
              <w:rPr>
                <w:i/>
              </w:rPr>
            </w:pPr>
            <w:r>
              <w:rPr>
                <w:i/>
              </w:rPr>
              <w:t>Uporabniki ali kategorije uporabnikov osebnih podatkov:</w:t>
            </w:r>
          </w:p>
        </w:tc>
      </w:tr>
      <w:tr w:rsidR="00053D9D" w14:paraId="32D7DE3E" w14:textId="77777777" w:rsidTr="00FA2D85">
        <w:trPr>
          <w:trHeight w:val="787"/>
        </w:trPr>
        <w:tc>
          <w:tcPr>
            <w:tcW w:w="9072" w:type="dxa"/>
            <w:vAlign w:val="center"/>
          </w:tcPr>
          <w:p w14:paraId="44C0C87B" w14:textId="177BB006" w:rsidR="00053D9D" w:rsidRPr="0030546F" w:rsidRDefault="00053D9D" w:rsidP="003F59F1">
            <w:pPr>
              <w:rPr>
                <w:b/>
              </w:rPr>
            </w:pPr>
            <w:r>
              <w:t>Državni in drugi pristojni organi na podlagi zakona.</w:t>
            </w:r>
          </w:p>
        </w:tc>
      </w:tr>
    </w:tbl>
    <w:p w14:paraId="14C25A7B" w14:textId="77777777" w:rsidR="008318EA" w:rsidRPr="008318EA" w:rsidRDefault="008318EA" w:rsidP="008318EA"/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53D9D" w:rsidRPr="00A322E9" w14:paraId="794B6FD6" w14:textId="77777777" w:rsidTr="00FA2D85">
        <w:trPr>
          <w:trHeight w:val="789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14:paraId="1D950772" w14:textId="07FFDA1E" w:rsidR="00053D9D" w:rsidRPr="00A322E9" w:rsidRDefault="00053D9D" w:rsidP="00053D9D">
            <w:pPr>
              <w:spacing w:after="0"/>
              <w:rPr>
                <w:i/>
              </w:rPr>
            </w:pPr>
            <w:r>
              <w:rPr>
                <w:i/>
              </w:rPr>
              <w:t>Informacije o prenosih osebnih podatkov v tretjo državo ali mednarodno organizacijo ter informacije o obstoju avtomatiziranega sprejemanja odločitev, vključno z oblikovanjem profilov:</w:t>
            </w:r>
          </w:p>
        </w:tc>
      </w:tr>
      <w:tr w:rsidR="00053D9D" w14:paraId="669D082E" w14:textId="77777777" w:rsidTr="00FA2D85">
        <w:trPr>
          <w:trHeight w:val="787"/>
        </w:trPr>
        <w:tc>
          <w:tcPr>
            <w:tcW w:w="9072" w:type="dxa"/>
            <w:vAlign w:val="center"/>
          </w:tcPr>
          <w:p w14:paraId="38DF9FCB" w14:textId="77777777" w:rsidR="00053D9D" w:rsidRPr="007C3CB4" w:rsidRDefault="00053D9D" w:rsidP="003F59F1">
            <w:r w:rsidRPr="007C3CB4">
              <w:t>Osebni podatki se ne prenašajo v tretje države ali mednarodne organizacije.</w:t>
            </w:r>
          </w:p>
          <w:p w14:paraId="7909AB3C" w14:textId="77777777" w:rsidR="00053D9D" w:rsidRPr="007C3CB4" w:rsidRDefault="00053D9D" w:rsidP="003F59F1">
            <w:r w:rsidRPr="007C3CB4">
              <w:t>Ne obstaja avtomatizirano sprejemanje odločitev.</w:t>
            </w:r>
          </w:p>
          <w:p w14:paraId="5E0E5343" w14:textId="49AB0763" w:rsidR="00053D9D" w:rsidRPr="0030546F" w:rsidRDefault="0087761E" w:rsidP="0087761E">
            <w:pPr>
              <w:rPr>
                <w:b/>
              </w:rPr>
            </w:pPr>
            <w:r>
              <w:t xml:space="preserve">Ne obstaja profiliranje </w:t>
            </w:r>
            <w:r w:rsidR="00053D9D" w:rsidRPr="007C3CB4">
              <w:t>podatkov.</w:t>
            </w:r>
          </w:p>
        </w:tc>
      </w:tr>
    </w:tbl>
    <w:p w14:paraId="7F15E204" w14:textId="77777777" w:rsidR="008318EA" w:rsidRPr="008318EA" w:rsidRDefault="008318EA" w:rsidP="008318EA"/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053D9D" w:rsidRPr="00A322E9" w14:paraId="202B4288" w14:textId="77777777" w:rsidTr="00FA2D85">
        <w:trPr>
          <w:trHeight w:val="789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14:paraId="57FD0164" w14:textId="498C067A" w:rsidR="00053D9D" w:rsidRPr="00A322E9" w:rsidRDefault="00053D9D" w:rsidP="00053D9D">
            <w:pPr>
              <w:spacing w:after="0"/>
              <w:rPr>
                <w:i/>
              </w:rPr>
            </w:pPr>
            <w:r>
              <w:rPr>
                <w:i/>
              </w:rPr>
              <w:t>Informacije o obstoju pravic posameznika, da lahko zahteva dostop do osebnih podatkov in popravek ali izbris osebnih podatkov ali omejitev, ali obstoj pravice do ugovora obdelavi in pravice do prenosljivosti podatkov</w:t>
            </w:r>
            <w:r w:rsidR="007724B3">
              <w:rPr>
                <w:i/>
              </w:rPr>
              <w:t xml:space="preserve"> (15. do 22. člen Splošne Uredbe o varstvu podatkov)</w:t>
            </w:r>
            <w:r>
              <w:rPr>
                <w:i/>
              </w:rPr>
              <w:t>:</w:t>
            </w:r>
          </w:p>
        </w:tc>
      </w:tr>
      <w:tr w:rsidR="00053D9D" w14:paraId="16DBD873" w14:textId="77777777" w:rsidTr="00FA2D85">
        <w:trPr>
          <w:trHeight w:val="1103"/>
        </w:trPr>
        <w:tc>
          <w:tcPr>
            <w:tcW w:w="9072" w:type="dxa"/>
            <w:gridSpan w:val="2"/>
            <w:vAlign w:val="center"/>
          </w:tcPr>
          <w:p w14:paraId="0B8C0D03" w14:textId="41F19BB9" w:rsidR="00053D9D" w:rsidRPr="0030546F" w:rsidRDefault="00053D9D" w:rsidP="007724B3">
            <w:pPr>
              <w:rPr>
                <w:b/>
              </w:rPr>
            </w:pPr>
            <w:r>
              <w:t>Spodaj navedene pravice lahko posamezniki s pisnim zahtevkom na naslov ali e-naslov upravljavca (glej: identiteta in kontaktni podatki upravljavca).</w:t>
            </w:r>
          </w:p>
        </w:tc>
      </w:tr>
      <w:tr w:rsidR="00053D9D" w14:paraId="39E5977A" w14:textId="77777777" w:rsidTr="00FA2D85">
        <w:trPr>
          <w:trHeight w:val="143"/>
        </w:trPr>
        <w:tc>
          <w:tcPr>
            <w:tcW w:w="2410" w:type="dxa"/>
            <w:vAlign w:val="center"/>
          </w:tcPr>
          <w:p w14:paraId="6A5317AE" w14:textId="0A1569ED" w:rsidR="00053D9D" w:rsidRDefault="007724B3" w:rsidP="007724B3">
            <w:r>
              <w:t>Pravica dostopa posameznika, na katerega se nanašajo osebni podatki</w:t>
            </w:r>
          </w:p>
        </w:tc>
        <w:tc>
          <w:tcPr>
            <w:tcW w:w="6662" w:type="dxa"/>
            <w:vAlign w:val="center"/>
          </w:tcPr>
          <w:p w14:paraId="7C468EEA" w14:textId="5F53B5C6" w:rsidR="00053D9D" w:rsidRDefault="00297359" w:rsidP="003F59F1">
            <w:r>
              <w:t xml:space="preserve">Posameznik, na katerega se nanašajo osebni podatki, ima pravico dobiti potrditev ali se v zvezi z njim obdelujejo osebni podatki in ima v tem primeru pravico do informacij, kot jih </w:t>
            </w:r>
            <w:r w:rsidR="00FA2D85">
              <w:t>predvideva 15. člen Splošne U</w:t>
            </w:r>
            <w:r>
              <w:t>redbe o varstvu podatkov.</w:t>
            </w:r>
          </w:p>
        </w:tc>
      </w:tr>
      <w:tr w:rsidR="00053D9D" w14:paraId="78DE7F4B" w14:textId="77777777" w:rsidTr="00FA2D85">
        <w:trPr>
          <w:trHeight w:val="136"/>
        </w:trPr>
        <w:tc>
          <w:tcPr>
            <w:tcW w:w="2410" w:type="dxa"/>
            <w:vAlign w:val="center"/>
          </w:tcPr>
          <w:p w14:paraId="1B696B3F" w14:textId="33CD7EC5" w:rsidR="00053D9D" w:rsidRDefault="007724B3" w:rsidP="003F59F1">
            <w:r>
              <w:t>Pravica do popravka</w:t>
            </w:r>
          </w:p>
        </w:tc>
        <w:tc>
          <w:tcPr>
            <w:tcW w:w="6662" w:type="dxa"/>
            <w:vAlign w:val="center"/>
          </w:tcPr>
          <w:p w14:paraId="36FF3D46" w14:textId="59277B64" w:rsidR="00053D9D" w:rsidRDefault="00297359" w:rsidP="003F59F1">
            <w:r>
              <w:t>Posameznik, na katerega se nanašajo osebni podatki, ima pravico doseči, da upravljavec brez nepotrebnega odlašanja popravi netočne osebne podatke v zvezi z njim. Posameznik, na katerega se nanašajo osebni podatki, ima ob upoštevanju namenov obdelave, pravico do dopolnitve nepopolnih osebnih podatkov, vključno s predložitvijo dopolnilne izjave.</w:t>
            </w:r>
          </w:p>
        </w:tc>
      </w:tr>
      <w:tr w:rsidR="00053D9D" w14:paraId="7421D38B" w14:textId="77777777" w:rsidTr="00FA2D85">
        <w:trPr>
          <w:trHeight w:val="136"/>
        </w:trPr>
        <w:tc>
          <w:tcPr>
            <w:tcW w:w="2410" w:type="dxa"/>
            <w:vAlign w:val="center"/>
          </w:tcPr>
          <w:p w14:paraId="1E83B9CA" w14:textId="63002384" w:rsidR="00053D9D" w:rsidRDefault="007724B3" w:rsidP="003F59F1">
            <w:r>
              <w:t>Pravica do izbrisa (»pravica do pozabe«)</w:t>
            </w:r>
          </w:p>
        </w:tc>
        <w:tc>
          <w:tcPr>
            <w:tcW w:w="6662" w:type="dxa"/>
            <w:vAlign w:val="center"/>
          </w:tcPr>
          <w:p w14:paraId="273E2D28" w14:textId="77777777" w:rsidR="001360DA" w:rsidRDefault="00297359" w:rsidP="001360DA">
            <w:r>
              <w:t xml:space="preserve">Posameznik, na katerega se nanašajo osebni podatki, ima pravico doseči, da upravljavec brez nepotrebnega odlašanja izbriše osebne podatke v zvezi z njim, upravljavec pa ima obveznost osebne podatke brez nepotrebnega odlašanja izbrisati v naslednjih primerih: osebni podatki niso več potrebni za namene, za katere so bili zbrani ali kako drugače obdelani; posameznik, na katerega se nanašajo osebni podatki, prikliče privolitev, na podlagi katere poteka obdelava in kadar za obdelavo ne obstaja nobena druga pravna podlaga; posameznik, na katerega se nanašajo osebni podatki, obdelavi ugovarja (glej pravico do ugovora); osebni podatki so bili obdelani nezakonito; osebne podatke je </w:t>
            </w:r>
            <w:r>
              <w:lastRenderedPageBreak/>
              <w:t xml:space="preserve">treba izbrisati za izpolnitev pravne obveznosti v skladu s pravom </w:t>
            </w:r>
            <w:r w:rsidR="001360DA">
              <w:t>Evropske u</w:t>
            </w:r>
            <w:r>
              <w:t xml:space="preserve">nije in Republike Slovenije. Izbris se ne izvede, če je obdelava osebnih podatkov potrebna: za uresničevanje pravice do svobode izražanja in obveščanja; za izpolnjevanje pravne obveznosti obdelave na podlagi predpisov ali za izvajanje naloge v javnem interesu ali pri izvajanju javne oblasti, ki je bila dodeljena upravljavcu; iz razlogov javnega interesa na področju javnega zdravja; za namen arhiviranja v javnem interesu, za znanstveno ali zgodovinsko raziskovalne namene ali statistične namene; za uveljavljanje, izvajanje ali obrambo pravnih zahtevkov. </w:t>
            </w:r>
          </w:p>
          <w:p w14:paraId="0AC64A6C" w14:textId="39E169F2" w:rsidR="00053D9D" w:rsidRDefault="00297359" w:rsidP="007C3CB4">
            <w:r>
              <w:t xml:space="preserve">Pravico do izbrisa lahko </w:t>
            </w:r>
            <w:r w:rsidR="001360DA">
              <w:t>posame</w:t>
            </w:r>
            <w:r w:rsidR="007C3CB4">
              <w:t xml:space="preserve">znik </w:t>
            </w:r>
            <w:r>
              <w:t>uveljavlja samo v omejenih primerih, ki so našteti zgora</w:t>
            </w:r>
            <w:r w:rsidR="001360DA">
              <w:t>j.</w:t>
            </w:r>
          </w:p>
        </w:tc>
      </w:tr>
      <w:tr w:rsidR="00053D9D" w14:paraId="0ED24420" w14:textId="77777777" w:rsidTr="00FA2D85">
        <w:trPr>
          <w:trHeight w:val="136"/>
        </w:trPr>
        <w:tc>
          <w:tcPr>
            <w:tcW w:w="2410" w:type="dxa"/>
            <w:vAlign w:val="center"/>
          </w:tcPr>
          <w:p w14:paraId="11942E65" w14:textId="27386DF5" w:rsidR="00053D9D" w:rsidRDefault="007724B3" w:rsidP="003F59F1">
            <w:r>
              <w:lastRenderedPageBreak/>
              <w:t>Pravica do omejitve obdelave</w:t>
            </w:r>
          </w:p>
        </w:tc>
        <w:tc>
          <w:tcPr>
            <w:tcW w:w="6662" w:type="dxa"/>
            <w:vAlign w:val="center"/>
          </w:tcPr>
          <w:p w14:paraId="2D13737A" w14:textId="41E30609" w:rsidR="00297359" w:rsidRDefault="00297359" w:rsidP="003F59F1">
            <w:r>
              <w:t xml:space="preserve">Posameznik, na katerega se nanašajo osebni podatki, ima pravico doseči, da upravljavec omeji obdelavo v primeru, če je izpolnjen kateri od </w:t>
            </w:r>
            <w:r w:rsidR="007C3CB4">
              <w:t>naslednjih</w:t>
            </w:r>
            <w:r>
              <w:t xml:space="preserve"> pogojev: posameznik oporeka točnosti podatkov, in sicer za obdobje, ki upravljavcu omogoča preveriti točnost osebnih podatkov; je obdelava nezakonita in posameznik, na katerega se nanašajo osebni podatki, nasprotuje izbrisu osebnih podatkov ter namesto tega zahteva omejitev njihove uporabe; upravljavec osebnih podatkov ne potrebuje več za namene obdelave, temveč jih za uveljavljanje, izvajanje ali obrambo pravnih zahtevkov potrebuje posameznik, na katerega se nanašajo; je posameznik, na katerega se nanašajo osebni podatki, vložil ugovor v zvezi z obdelavo, dokler ni ugotovljeno ali zakoniti razlogi upravljavca prevladajo nad razlogi posameznika. </w:t>
            </w:r>
          </w:p>
          <w:p w14:paraId="31BAAC85" w14:textId="5C2C412F" w:rsidR="00053D9D" w:rsidRDefault="00297359" w:rsidP="003F59F1">
            <w:r>
              <w:t>Če je posameznik zahteval omejitev iz navedenih razlogov, potem se lahko podatki le še shranjujejo, vse druge vrste obdelav pa se lahko izvajajo le: s privolitvijo posameznika, na katerega se ti nanašajo; za uveljavljanje, izvajanje ali obrambo pravnih zahtevkov; zar</w:t>
            </w:r>
            <w:r w:rsidR="007C3CB4">
              <w:t>a</w:t>
            </w:r>
            <w:r>
              <w:t>di varstva pravic druge fizične ali pravne osebe; ali zaradi pomembnega javnega interesa Evropske unije ali Republike Slovenije.</w:t>
            </w:r>
          </w:p>
          <w:p w14:paraId="50BD722F" w14:textId="4AFF2A27" w:rsidR="00297359" w:rsidRDefault="007C3CB4" w:rsidP="003F59F1">
            <w:r>
              <w:t>Pravico do izbrisa lahko posameznik uveljavlja samo v omejenih primerih, ki so našteti zgoraj.</w:t>
            </w:r>
          </w:p>
        </w:tc>
      </w:tr>
      <w:tr w:rsidR="00053D9D" w14:paraId="2831B459" w14:textId="77777777" w:rsidTr="00FA2D85">
        <w:trPr>
          <w:trHeight w:val="136"/>
        </w:trPr>
        <w:tc>
          <w:tcPr>
            <w:tcW w:w="2410" w:type="dxa"/>
            <w:vAlign w:val="center"/>
          </w:tcPr>
          <w:p w14:paraId="4EEDEDEB" w14:textId="469804F0" w:rsidR="00053D9D" w:rsidRDefault="007724B3" w:rsidP="003F59F1">
            <w:r>
              <w:t>Obveznost obveščanja v zvezi s popravkom ali izbrisom osebnih podatkov ali omejitvijo uporabe</w:t>
            </w:r>
          </w:p>
        </w:tc>
        <w:tc>
          <w:tcPr>
            <w:tcW w:w="6662" w:type="dxa"/>
            <w:vAlign w:val="center"/>
          </w:tcPr>
          <w:p w14:paraId="338C4B4E" w14:textId="21D2AB71" w:rsidR="00053D9D" w:rsidRDefault="00297359" w:rsidP="003F59F1">
            <w:r>
              <w:t>Upravljavec vsakemu uporabniku, ki so mu bili osebni podatki razkriti, sporoči vse popravke, izbrise in omejitve obdelave razen, če se to izkaže za nemogoče ali vključuje nesorazmeren napor.</w:t>
            </w:r>
          </w:p>
        </w:tc>
      </w:tr>
      <w:tr w:rsidR="00053D9D" w14:paraId="5F8DBC9A" w14:textId="77777777" w:rsidTr="00FA2D85">
        <w:trPr>
          <w:trHeight w:val="136"/>
        </w:trPr>
        <w:tc>
          <w:tcPr>
            <w:tcW w:w="2410" w:type="dxa"/>
            <w:vAlign w:val="center"/>
          </w:tcPr>
          <w:p w14:paraId="058465B5" w14:textId="4E45B3EA" w:rsidR="00053D9D" w:rsidRDefault="007724B3" w:rsidP="003F59F1">
            <w:r>
              <w:t>Pravica do prenosljivosti podatkov</w:t>
            </w:r>
          </w:p>
        </w:tc>
        <w:tc>
          <w:tcPr>
            <w:tcW w:w="6662" w:type="dxa"/>
            <w:vAlign w:val="center"/>
          </w:tcPr>
          <w:p w14:paraId="15E078FA" w14:textId="3328DBA8" w:rsidR="00053D9D" w:rsidRDefault="00297359" w:rsidP="003F59F1">
            <w:r>
              <w:t xml:space="preserve">Posameznik, na katerega se nanašajo osebni podatki, ima pravico, da prejme osebne podatke v zvezi z njim, ki jih je posredoval upravljavcu v strukturirani, splošno uporabni, strojno berljivi in </w:t>
            </w:r>
            <w:proofErr w:type="spellStart"/>
            <w:r>
              <w:t>interoperabilni</w:t>
            </w:r>
            <w:proofErr w:type="spellEnd"/>
            <w:r>
              <w:t xml:space="preserve"> obliki in pravico, da te podatke posreduje drugemu upravljavcu brez oviranja</w:t>
            </w:r>
            <w:r w:rsidR="007C3CB4">
              <w:t>,</w:t>
            </w:r>
            <w:r>
              <w:t xml:space="preserve"> kadar: obdelava temelji na privolitvi ali pogodbi in se obdelava izvaja z avtomatiziranimi sredstvi. Pravica je dopustna, kadar je tehnično izvedljiva. Uresničevanje te pravice ne posega v pravico do izbrisa.</w:t>
            </w:r>
          </w:p>
        </w:tc>
      </w:tr>
      <w:tr w:rsidR="00053D9D" w14:paraId="3A60C6DB" w14:textId="77777777" w:rsidTr="00FA2D85">
        <w:trPr>
          <w:trHeight w:val="136"/>
        </w:trPr>
        <w:tc>
          <w:tcPr>
            <w:tcW w:w="2410" w:type="dxa"/>
            <w:vAlign w:val="center"/>
          </w:tcPr>
          <w:p w14:paraId="5941BCBF" w14:textId="4834084B" w:rsidR="00053D9D" w:rsidRDefault="007724B3" w:rsidP="003F59F1">
            <w:r>
              <w:t>Pravica do ugovora</w:t>
            </w:r>
          </w:p>
        </w:tc>
        <w:tc>
          <w:tcPr>
            <w:tcW w:w="6662" w:type="dxa"/>
            <w:vAlign w:val="center"/>
          </w:tcPr>
          <w:p w14:paraId="5B89391C" w14:textId="0D644ECE" w:rsidR="00053D9D" w:rsidRDefault="00297359" w:rsidP="003F59F1">
            <w:r>
              <w:t xml:space="preserve">UM osebnih podatkov ne obdeluje za namene neposrednega trženja, zato ni razloga, da kot posameznik, na katerega se nanašajo osebni podatki, uveljavljate pravico, da kadar koli ugovarjate obdelavi osebnih podatkov v zvezi z vami za namene takega trženja, vključno z </w:t>
            </w:r>
            <w:r>
              <w:lastRenderedPageBreak/>
              <w:t>oblikovanjem profilov, kadar je povezano s takim neposrednim trženjem.</w:t>
            </w:r>
          </w:p>
        </w:tc>
      </w:tr>
      <w:tr w:rsidR="00053D9D" w14:paraId="43FC92B3" w14:textId="77777777" w:rsidTr="00FA2D85">
        <w:trPr>
          <w:trHeight w:val="136"/>
        </w:trPr>
        <w:tc>
          <w:tcPr>
            <w:tcW w:w="2410" w:type="dxa"/>
            <w:vAlign w:val="center"/>
          </w:tcPr>
          <w:p w14:paraId="2B1A936A" w14:textId="3E9CBE9D" w:rsidR="00053D9D" w:rsidRDefault="007724B3" w:rsidP="003F59F1">
            <w:r>
              <w:lastRenderedPageBreak/>
              <w:t>Avtomatizirano sprejemanje posameznih odločitev, vključno z oblikovanjem profilov</w:t>
            </w:r>
          </w:p>
        </w:tc>
        <w:tc>
          <w:tcPr>
            <w:tcW w:w="6662" w:type="dxa"/>
            <w:vAlign w:val="center"/>
          </w:tcPr>
          <w:p w14:paraId="2DB997AD" w14:textId="1616C7D0" w:rsidR="00053D9D" w:rsidRDefault="008A0615" w:rsidP="007C3CB4">
            <w:r>
              <w:t xml:space="preserve">Posameznik, na katerega se nanašajo osebni podatki, ima pravico, da zanj ne velja odločitev, ki temelji zgolj na avtomatizirani obdelavi, vključno z oblikovanjem profilov, ki ima pravne učinke v zvezi z njim ali na podoben način nanj znatno vpliva, razen: če je odločitev nujna za sklenitev ali izvajanje pogodbe med posameznikom, na katerega se nanašajo osebni podatki, in upravljavcem podatkov; dovoljena v pravu </w:t>
            </w:r>
            <w:r w:rsidR="007C3CB4">
              <w:t>Evropske u</w:t>
            </w:r>
            <w:r>
              <w:t xml:space="preserve">nije ali </w:t>
            </w:r>
            <w:r w:rsidR="007C3CB4">
              <w:t>Republike Slovenije</w:t>
            </w:r>
            <w:r>
              <w:t>, ki velja za upravljavca in določa tudi ustrezne ukrepe za zaščito pravic in svoboščin ter zakonitih interesov posameznika, na katerega se nanašajo osebni podatki; ali utemeljena z izrecno privolitvijo posameznika, na katerega se nanašajo osebni podatki.</w:t>
            </w:r>
          </w:p>
        </w:tc>
      </w:tr>
    </w:tbl>
    <w:p w14:paraId="0413EBEB" w14:textId="0AA4771F" w:rsidR="009C4376" w:rsidRDefault="009C4376" w:rsidP="008318EA">
      <w:pPr>
        <w:jc w:val="right"/>
      </w:pPr>
    </w:p>
    <w:p w14:paraId="627A9D54" w14:textId="3A14F215" w:rsidR="007724B3" w:rsidRDefault="007724B3" w:rsidP="008318EA">
      <w:pPr>
        <w:jc w:val="right"/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724B3" w:rsidRPr="00A322E9" w14:paraId="77F205E7" w14:textId="77777777" w:rsidTr="00FA2D85">
        <w:trPr>
          <w:trHeight w:val="789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14:paraId="7F4AE9A3" w14:textId="19EE7B17" w:rsidR="007724B3" w:rsidRPr="00A322E9" w:rsidRDefault="007724B3" w:rsidP="003F59F1">
            <w:pPr>
              <w:spacing w:after="0"/>
              <w:rPr>
                <w:i/>
              </w:rPr>
            </w:pPr>
            <w:r>
              <w:rPr>
                <w:i/>
              </w:rPr>
              <w:t>Informacije o pravici do vložitve pritožbe pri nadzornem organu:</w:t>
            </w:r>
          </w:p>
        </w:tc>
      </w:tr>
      <w:tr w:rsidR="007724B3" w14:paraId="18985053" w14:textId="77777777" w:rsidTr="00FA2D85">
        <w:trPr>
          <w:trHeight w:val="787"/>
        </w:trPr>
        <w:tc>
          <w:tcPr>
            <w:tcW w:w="9072" w:type="dxa"/>
            <w:vAlign w:val="center"/>
          </w:tcPr>
          <w:p w14:paraId="4ACA3156" w14:textId="77777777" w:rsidR="007C3CB4" w:rsidRDefault="007C3CB4" w:rsidP="003F59F1"/>
          <w:p w14:paraId="1AD95A25" w14:textId="0DAFD0E9" w:rsidR="007724B3" w:rsidRPr="00D76128" w:rsidRDefault="007724B3" w:rsidP="00D76128">
            <w:pPr>
              <w:jc w:val="both"/>
            </w:pPr>
            <w:r w:rsidRPr="00D76128">
              <w:t>P</w:t>
            </w:r>
            <w:r w:rsidR="007C3CB4" w:rsidRPr="00D76128">
              <w:t>ritožb</w:t>
            </w:r>
            <w:r w:rsidR="00D76128">
              <w:t>o</w:t>
            </w:r>
            <w:r w:rsidR="007C3CB4" w:rsidRPr="00D76128">
              <w:t xml:space="preserve"> lahko </w:t>
            </w:r>
            <w:r w:rsidRPr="00D76128">
              <w:t>podat</w:t>
            </w:r>
            <w:r w:rsidR="00D76128" w:rsidRPr="00D76128">
              <w:t xml:space="preserve">e pri </w:t>
            </w:r>
            <w:r w:rsidRPr="00D76128">
              <w:t>Informacijsk</w:t>
            </w:r>
            <w:r w:rsidR="00D76128" w:rsidRPr="00D76128">
              <w:t>em</w:t>
            </w:r>
            <w:r w:rsidRPr="00D76128">
              <w:t xml:space="preserve"> pooblaščen</w:t>
            </w:r>
            <w:r w:rsidR="00D76128" w:rsidRPr="00D76128">
              <w:t xml:space="preserve">cu, </w:t>
            </w:r>
            <w:r w:rsidRPr="00D76128">
              <w:t>Dunajska 22, 1000 L</w:t>
            </w:r>
            <w:r w:rsidR="00D76128" w:rsidRPr="00D76128">
              <w:t xml:space="preserve">jubljana, </w:t>
            </w:r>
            <w:proofErr w:type="spellStart"/>
            <w:r w:rsidRPr="00D76128">
              <w:t>e-naslov:gp.ip@ip-rs.si</w:t>
            </w:r>
            <w:proofErr w:type="spellEnd"/>
            <w:r w:rsidR="00D76128" w:rsidRPr="00D76128">
              <w:t xml:space="preserve">, </w:t>
            </w:r>
            <w:r w:rsidRPr="00D76128">
              <w:t>telefon: 01 230 97 30</w:t>
            </w:r>
            <w:r w:rsidR="00D76128" w:rsidRPr="00D76128">
              <w:t xml:space="preserve">, </w:t>
            </w:r>
            <w:r w:rsidRPr="00D76128">
              <w:t>spletna stran: www.ip-rs.si</w:t>
            </w:r>
          </w:p>
          <w:p w14:paraId="57B6BDB3" w14:textId="12AE078A" w:rsidR="007724B3" w:rsidRPr="0030546F" w:rsidRDefault="007724B3" w:rsidP="003F59F1">
            <w:pPr>
              <w:rPr>
                <w:b/>
              </w:rPr>
            </w:pPr>
          </w:p>
        </w:tc>
      </w:tr>
    </w:tbl>
    <w:p w14:paraId="5097EC17" w14:textId="77777777" w:rsidR="007724B3" w:rsidRPr="008318EA" w:rsidRDefault="007724B3" w:rsidP="008318EA">
      <w:pPr>
        <w:jc w:val="right"/>
      </w:pPr>
    </w:p>
    <w:sectPr w:rsidR="007724B3" w:rsidRPr="008318EA" w:rsidSect="00962BBF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3662" w14:textId="77777777" w:rsidR="00E14F2A" w:rsidRDefault="00E14F2A" w:rsidP="00BB5C4F">
      <w:pPr>
        <w:spacing w:after="0"/>
      </w:pPr>
      <w:r>
        <w:separator/>
      </w:r>
    </w:p>
  </w:endnote>
  <w:endnote w:type="continuationSeparator" w:id="0">
    <w:p w14:paraId="7C71BC12" w14:textId="77777777" w:rsidR="00E14F2A" w:rsidRDefault="00E14F2A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9FD1" w14:textId="5E5B2161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CF18BE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F18BE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643203"/>
      <w:docPartObj>
        <w:docPartGallery w:val="Page Numbers (Bottom of Page)"/>
        <w:docPartUnique/>
      </w:docPartObj>
    </w:sdtPr>
    <w:sdtContent>
      <w:p w14:paraId="0A5C78BE" w14:textId="21B05312" w:rsidR="00E61A56" w:rsidRDefault="00E61A5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8BE">
          <w:rPr>
            <w:noProof/>
          </w:rPr>
          <w:t>1</w:t>
        </w:r>
        <w:r>
          <w:fldChar w:fldCharType="end"/>
        </w:r>
      </w:p>
    </w:sdtContent>
  </w:sdt>
  <w:p w14:paraId="09176758" w14:textId="66BD61C4" w:rsidR="00D17A99" w:rsidRPr="0080547E" w:rsidRDefault="00D17A99" w:rsidP="0080547E">
    <w:pPr>
      <w:pStyle w:val="Noga"/>
      <w:jc w:val="center"/>
      <w:rPr>
        <w:rFonts w:cs="TitilliumText25L"/>
        <w:color w:val="00688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B305" w14:textId="77777777" w:rsidR="00E14F2A" w:rsidRDefault="00E14F2A" w:rsidP="00BB5C4F">
      <w:pPr>
        <w:spacing w:after="0"/>
      </w:pPr>
      <w:r>
        <w:separator/>
      </w:r>
    </w:p>
  </w:footnote>
  <w:footnote w:type="continuationSeparator" w:id="0">
    <w:p w14:paraId="63B879EB" w14:textId="77777777" w:rsidR="00E14F2A" w:rsidRDefault="00E14F2A" w:rsidP="00BB5C4F">
      <w:pPr>
        <w:spacing w:after="0"/>
      </w:pPr>
      <w:r>
        <w:continuationSeparator/>
      </w:r>
    </w:p>
  </w:footnote>
  <w:footnote w:id="1">
    <w:p w14:paraId="3FE033F0" w14:textId="1D58D8A1" w:rsidR="00477A88" w:rsidRDefault="00477A88">
      <w:pPr>
        <w:pStyle w:val="Sprotnaopomba-besedilo"/>
      </w:pPr>
      <w:r>
        <w:rPr>
          <w:rStyle w:val="Sprotnaopomba-sklic"/>
        </w:rPr>
        <w:footnoteRef/>
      </w:r>
      <w:r>
        <w:t xml:space="preserve"> Uredba(EU) 2016/679 Evropskega parlamenta in Sveta z dne 27. 4. 2016 o varstvu posameznikov pri obdelavi osebnih podatkov in o prostem pretoku takih podatkov ter o razveljavitvi Direktive 95/46/ES (Sp</w:t>
      </w:r>
      <w:r w:rsidR="00B163DA">
        <w:t>lošna uredba o varstvu podatkov), UL. L. 119, 4. 5. 2016, str. 1-88</w:t>
      </w:r>
      <w:r w:rsidR="00E61A56">
        <w:t xml:space="preserve"> – GDPR (General Data </w:t>
      </w:r>
      <w:proofErr w:type="spellStart"/>
      <w:r w:rsidR="00E61A56">
        <w:t>Protection</w:t>
      </w:r>
      <w:proofErr w:type="spellEnd"/>
      <w:r w:rsidR="00E61A56">
        <w:t xml:space="preserve"> </w:t>
      </w:r>
      <w:proofErr w:type="spellStart"/>
      <w:r w:rsidR="00E61A56">
        <w:t>Regulation</w:t>
      </w:r>
      <w:proofErr w:type="spellEnd"/>
      <w:r w:rsidR="00E61A56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35E1" w14:textId="77777777" w:rsidR="00054766" w:rsidRDefault="00473EE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010E4E63" wp14:editId="1CE1D3D4">
          <wp:extent cx="1743075" cy="952500"/>
          <wp:effectExtent l="0" t="0" r="0" b="0"/>
          <wp:docPr id="1" name="Slika 1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8BD73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71D8ADE8" w14:textId="77777777" w:rsidR="00054766" w:rsidRDefault="00C62A66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Pivola 10</w:t>
    </w:r>
    <w:r w:rsidR="00A32CF9">
      <w:rPr>
        <w:color w:val="006A8E"/>
        <w:sz w:val="18"/>
      </w:rPr>
      <w:br/>
      <w:t>2</w:t>
    </w:r>
    <w:r>
      <w:rPr>
        <w:color w:val="006A8E"/>
        <w:sz w:val="18"/>
      </w:rPr>
      <w:t>311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Hoče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29B6"/>
    <w:multiLevelType w:val="hybridMultilevel"/>
    <w:tmpl w:val="EDBE2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7424308"/>
    <w:multiLevelType w:val="hybridMultilevel"/>
    <w:tmpl w:val="901AC2B2"/>
    <w:lvl w:ilvl="0" w:tplc="0424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4" w15:restartNumberingAfterBreak="0">
    <w:nsid w:val="5C8B0F8F"/>
    <w:multiLevelType w:val="hybridMultilevel"/>
    <w:tmpl w:val="953490E0"/>
    <w:lvl w:ilvl="0" w:tplc="A05EE69C">
      <w:start w:val="7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E7584"/>
    <w:multiLevelType w:val="hybridMultilevel"/>
    <w:tmpl w:val="B02617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D037B"/>
    <w:multiLevelType w:val="hybridMultilevel"/>
    <w:tmpl w:val="7CAC52CE"/>
    <w:lvl w:ilvl="0" w:tplc="74C05B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335981">
    <w:abstractNumId w:val="0"/>
  </w:num>
  <w:num w:numId="2" w16cid:durableId="1693413246">
    <w:abstractNumId w:val="6"/>
  </w:num>
  <w:num w:numId="3" w16cid:durableId="1078091053">
    <w:abstractNumId w:val="2"/>
  </w:num>
  <w:num w:numId="4" w16cid:durableId="1442873131">
    <w:abstractNumId w:val="5"/>
  </w:num>
  <w:num w:numId="5" w16cid:durableId="1038622313">
    <w:abstractNumId w:val="7"/>
  </w:num>
  <w:num w:numId="6" w16cid:durableId="44961515">
    <w:abstractNumId w:val="4"/>
  </w:num>
  <w:num w:numId="7" w16cid:durableId="1791237481">
    <w:abstractNumId w:val="1"/>
  </w:num>
  <w:num w:numId="8" w16cid:durableId="176580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0C"/>
    <w:rsid w:val="000018B4"/>
    <w:rsid w:val="00015E8D"/>
    <w:rsid w:val="000164C9"/>
    <w:rsid w:val="00016C72"/>
    <w:rsid w:val="00051DAE"/>
    <w:rsid w:val="00051F90"/>
    <w:rsid w:val="00053D9D"/>
    <w:rsid w:val="00054766"/>
    <w:rsid w:val="0007049E"/>
    <w:rsid w:val="000C393D"/>
    <w:rsid w:val="000F1A06"/>
    <w:rsid w:val="000F1C22"/>
    <w:rsid w:val="0010741D"/>
    <w:rsid w:val="001360DA"/>
    <w:rsid w:val="001A7E24"/>
    <w:rsid w:val="00215201"/>
    <w:rsid w:val="002259E4"/>
    <w:rsid w:val="002335B5"/>
    <w:rsid w:val="0028526B"/>
    <w:rsid w:val="00297359"/>
    <w:rsid w:val="002E2D9F"/>
    <w:rsid w:val="0030546F"/>
    <w:rsid w:val="00311139"/>
    <w:rsid w:val="00344262"/>
    <w:rsid w:val="00350677"/>
    <w:rsid w:val="003925B2"/>
    <w:rsid w:val="00400569"/>
    <w:rsid w:val="0041020B"/>
    <w:rsid w:val="00413C63"/>
    <w:rsid w:val="00472597"/>
    <w:rsid w:val="004735FB"/>
    <w:rsid w:val="00473EE0"/>
    <w:rsid w:val="00477A88"/>
    <w:rsid w:val="004D4EC4"/>
    <w:rsid w:val="00522FDF"/>
    <w:rsid w:val="005376C1"/>
    <w:rsid w:val="00597295"/>
    <w:rsid w:val="005B48A9"/>
    <w:rsid w:val="005B7545"/>
    <w:rsid w:val="006837C4"/>
    <w:rsid w:val="006A3EBA"/>
    <w:rsid w:val="006E4093"/>
    <w:rsid w:val="00710AF2"/>
    <w:rsid w:val="007138CE"/>
    <w:rsid w:val="00724C2A"/>
    <w:rsid w:val="007410DA"/>
    <w:rsid w:val="00751834"/>
    <w:rsid w:val="007554FD"/>
    <w:rsid w:val="007564BD"/>
    <w:rsid w:val="007724B3"/>
    <w:rsid w:val="00784EB8"/>
    <w:rsid w:val="007B34C1"/>
    <w:rsid w:val="007C3CB4"/>
    <w:rsid w:val="007C4B80"/>
    <w:rsid w:val="007D168B"/>
    <w:rsid w:val="0080304F"/>
    <w:rsid w:val="0080547E"/>
    <w:rsid w:val="00822E26"/>
    <w:rsid w:val="008318EA"/>
    <w:rsid w:val="00856A8B"/>
    <w:rsid w:val="0087761E"/>
    <w:rsid w:val="00884BE7"/>
    <w:rsid w:val="008A0615"/>
    <w:rsid w:val="0094062B"/>
    <w:rsid w:val="0095338B"/>
    <w:rsid w:val="00962BBF"/>
    <w:rsid w:val="00976774"/>
    <w:rsid w:val="009956F4"/>
    <w:rsid w:val="009B69CC"/>
    <w:rsid w:val="009C4376"/>
    <w:rsid w:val="009D1978"/>
    <w:rsid w:val="00A03F1E"/>
    <w:rsid w:val="00A17EA6"/>
    <w:rsid w:val="00A307E1"/>
    <w:rsid w:val="00A322E9"/>
    <w:rsid w:val="00A32CF9"/>
    <w:rsid w:val="00A46A19"/>
    <w:rsid w:val="00AC476E"/>
    <w:rsid w:val="00AD6E80"/>
    <w:rsid w:val="00B02A70"/>
    <w:rsid w:val="00B13296"/>
    <w:rsid w:val="00B14DD9"/>
    <w:rsid w:val="00B163DA"/>
    <w:rsid w:val="00B87726"/>
    <w:rsid w:val="00BB11C3"/>
    <w:rsid w:val="00BB5C4F"/>
    <w:rsid w:val="00C067A4"/>
    <w:rsid w:val="00C25FF2"/>
    <w:rsid w:val="00C62A66"/>
    <w:rsid w:val="00CD7DA4"/>
    <w:rsid w:val="00CF18BE"/>
    <w:rsid w:val="00CF38FE"/>
    <w:rsid w:val="00D13026"/>
    <w:rsid w:val="00D17A99"/>
    <w:rsid w:val="00D30651"/>
    <w:rsid w:val="00D30C0C"/>
    <w:rsid w:val="00D554AE"/>
    <w:rsid w:val="00D76128"/>
    <w:rsid w:val="00D76383"/>
    <w:rsid w:val="00D8107E"/>
    <w:rsid w:val="00D82FD2"/>
    <w:rsid w:val="00DC556E"/>
    <w:rsid w:val="00DC5A67"/>
    <w:rsid w:val="00DD2432"/>
    <w:rsid w:val="00DD3A72"/>
    <w:rsid w:val="00E01C78"/>
    <w:rsid w:val="00E10351"/>
    <w:rsid w:val="00E10BCB"/>
    <w:rsid w:val="00E14F2A"/>
    <w:rsid w:val="00E61A56"/>
    <w:rsid w:val="00E757D1"/>
    <w:rsid w:val="00F1084A"/>
    <w:rsid w:val="00F22984"/>
    <w:rsid w:val="00F31071"/>
    <w:rsid w:val="00F3663E"/>
    <w:rsid w:val="00F47F5F"/>
    <w:rsid w:val="00F75BC3"/>
    <w:rsid w:val="00F83525"/>
    <w:rsid w:val="00F9559A"/>
    <w:rsid w:val="00FA2D8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4915"/>
  <w15:docId w15:val="{30444E76-B0DB-4637-A0ED-575E94EA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77A88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77A88"/>
    <w:rPr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477A88"/>
    <w:rPr>
      <w:vertAlign w:val="superscript"/>
    </w:rPr>
  </w:style>
  <w:style w:type="table" w:styleId="Tabelamrea">
    <w:name w:val="Table Grid"/>
    <w:basedOn w:val="Navadnatabela"/>
    <w:uiPriority w:val="59"/>
    <w:rsid w:val="00A1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kbv@um.s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m.si/o-univerzi/dokumentno-sredisce/varstvo-osebnih-podatk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kbv@um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GP2012\aaaaa-Clanice-smiljan\FKBV\Word\dopis-um-fkbv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84E76DDC1AA641996A8C26D4106BE0" ma:contentTypeVersion="8" ma:contentTypeDescription="Ustvari nov dokument." ma:contentTypeScope="" ma:versionID="62e4683709ffce3249593df1fddc3a8e">
  <xsd:schema xmlns:xsd="http://www.w3.org/2001/XMLSchema" xmlns:xs="http://www.w3.org/2001/XMLSchema" xmlns:p="http://schemas.microsoft.com/office/2006/metadata/properties" xmlns:ns2="86c6268a-1982-4a01-bab8-aea47768f942" xmlns:ns3="562ce78b-bcab-4299-ba08-dbf313c1548b" targetNamespace="http://schemas.microsoft.com/office/2006/metadata/properties" ma:root="true" ma:fieldsID="2462b833da78f0fc6674ec4d4b948ba7" ns2:_="" ns3:_="">
    <xsd:import namespace="86c6268a-1982-4a01-bab8-aea47768f942"/>
    <xsd:import namespace="562ce78b-bcab-4299-ba08-dbf313c15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6268a-1982-4a01-bab8-aea47768f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ce78b-bcab-4299-ba08-dbf313c154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424dde-cf88-4d33-ae3e-88886f3aa343}" ma:internalName="TaxCatchAll" ma:showField="CatchAllData" ma:web="562ce78b-bcab-4299-ba08-dbf313c15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2ce78b-bcab-4299-ba08-dbf313c1548b" xsi:nil="true"/>
    <lcf76f155ced4ddcb4097134ff3c332f xmlns="86c6268a-1982-4a01-bab8-aea47768f94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12FBD-7C87-4663-88D1-2D97CE3B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6268a-1982-4a01-bab8-aea47768f942"/>
    <ds:schemaRef ds:uri="562ce78b-bcab-4299-ba08-dbf313c15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93FB1-41DD-4342-BF91-6DD050D372B7}">
  <ds:schemaRefs>
    <ds:schemaRef ds:uri="http://schemas.microsoft.com/office/2006/metadata/properties"/>
    <ds:schemaRef ds:uri="http://schemas.microsoft.com/office/infopath/2007/PartnerControls"/>
    <ds:schemaRef ds:uri="562ce78b-bcab-4299-ba08-dbf313c1548b"/>
    <ds:schemaRef ds:uri="86c6268a-1982-4a01-bab8-aea47768f942"/>
  </ds:schemaRefs>
</ds:datastoreItem>
</file>

<file path=customXml/itemProps3.xml><?xml version="1.0" encoding="utf-8"?>
<ds:datastoreItem xmlns:ds="http://schemas.openxmlformats.org/officeDocument/2006/customXml" ds:itemID="{50E636F8-CD04-4002-93F5-57D266DA8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87C926-3A15-4474-85E2-25A506F13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dopis-um-fkbv-1.dotx</Template>
  <TotalTime>0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fkbv1</dc:creator>
  <cp:keywords/>
  <dc:description/>
  <cp:lastModifiedBy>Avtor</cp:lastModifiedBy>
  <cp:revision>3</cp:revision>
  <cp:lastPrinted>2023-11-02T11:34:00Z</cp:lastPrinted>
  <dcterms:created xsi:type="dcterms:W3CDTF">2023-10-27T11:55:00Z</dcterms:created>
  <dcterms:modified xsi:type="dcterms:W3CDTF">2023-11-02T11:34:00Z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0x0101009784E76DDC1AA641996A8C26D4106BE0</vt:lpwstr>
  </property>
  <property fmtid="{D5CDD505-2E9C-101B-9397-08002B2CF9AE}" pid="3" name="_dlc_DocIdItemGuid">
    <vt:lpwstr>81232f79-de0e-421e-bd30-3ac095e8e211</vt:lpwstr>
  </property>
</Properties>
</file>